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01F" w:rsidRDefault="00A454F2">
      <w:pPr>
        <w:pStyle w:val="TM1"/>
        <w:rPr>
          <w:rFonts w:eastAsiaTheme="minorEastAsia" w:cstheme="minorBidi"/>
          <w:b w:val="0"/>
          <w:bCs w:val="0"/>
          <w:kern w:val="0"/>
          <w:sz w:val="22"/>
          <w:szCs w:val="22"/>
          <w:lang w:eastAsia="fr-FR" w:bidi="ar-SA"/>
        </w:rPr>
      </w:pPr>
      <w:r w:rsidRPr="00A454F2">
        <w:rPr>
          <w:rFonts w:asciiTheme="majorHAnsi" w:hAnsiTheme="majorHAnsi"/>
        </w:rPr>
        <w:fldChar w:fldCharType="begin"/>
      </w:r>
      <w:r w:rsidR="00B86F41">
        <w:rPr>
          <w:rFonts w:asciiTheme="majorHAnsi" w:hAnsiTheme="majorHAnsi"/>
        </w:rPr>
        <w:instrText xml:space="preserve"> TOC \o "2-4" \h \z \t "Doc-titre2;1;Doc-titre3;2;Doc-titre4;3" </w:instrText>
      </w:r>
      <w:r w:rsidRPr="00A454F2">
        <w:rPr>
          <w:rFonts w:asciiTheme="majorHAnsi" w:hAnsiTheme="majorHAnsi"/>
        </w:rPr>
        <w:fldChar w:fldCharType="separate"/>
      </w:r>
      <w:hyperlink w:anchor="_Toc336593302" w:history="1">
        <w:r w:rsidR="0001501F" w:rsidRPr="0006662F">
          <w:rPr>
            <w:rStyle w:val="Lienhypertexte"/>
            <w:rFonts w:ascii="Calibri" w:hAnsi="Calibri"/>
          </w:rPr>
          <w:t>I.</w:t>
        </w:r>
        <w:r w:rsidR="0001501F" w:rsidRPr="0006662F">
          <w:rPr>
            <w:rStyle w:val="Lienhypertexte"/>
          </w:rPr>
          <w:t xml:space="preserve"> Qu’est-ce que l’énergie ?</w:t>
        </w:r>
        <w:r w:rsidR="0001501F">
          <w:rPr>
            <w:webHidden/>
          </w:rPr>
          <w:tab/>
        </w:r>
        <w:r>
          <w:rPr>
            <w:webHidden/>
          </w:rPr>
          <w:fldChar w:fldCharType="begin"/>
        </w:r>
        <w:r w:rsidR="0001501F">
          <w:rPr>
            <w:webHidden/>
          </w:rPr>
          <w:instrText xml:space="preserve"> PAGEREF _Toc336593302 \h </w:instrText>
        </w:r>
        <w:r>
          <w:rPr>
            <w:webHidden/>
          </w:rPr>
        </w:r>
        <w:r>
          <w:rPr>
            <w:webHidden/>
          </w:rPr>
          <w:fldChar w:fldCharType="separate"/>
        </w:r>
        <w:r w:rsidR="00CC5190">
          <w:rPr>
            <w:webHidden/>
          </w:rPr>
          <w:t>2</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03" w:history="1">
        <w:r w:rsidR="0001501F" w:rsidRPr="0006662F">
          <w:rPr>
            <w:rStyle w:val="Lienhypertexte"/>
          </w:rPr>
          <w:t>I.1. Barrière énergétique</w:t>
        </w:r>
        <w:r w:rsidR="0001501F">
          <w:rPr>
            <w:webHidden/>
          </w:rPr>
          <w:tab/>
        </w:r>
        <w:r>
          <w:rPr>
            <w:webHidden/>
          </w:rPr>
          <w:fldChar w:fldCharType="begin"/>
        </w:r>
        <w:r w:rsidR="0001501F">
          <w:rPr>
            <w:webHidden/>
          </w:rPr>
          <w:instrText xml:space="preserve"> PAGEREF _Toc336593303 \h </w:instrText>
        </w:r>
        <w:r>
          <w:rPr>
            <w:webHidden/>
          </w:rPr>
        </w:r>
        <w:r>
          <w:rPr>
            <w:webHidden/>
          </w:rPr>
          <w:fldChar w:fldCharType="separate"/>
        </w:r>
        <w:r w:rsidR="00CC5190">
          <w:rPr>
            <w:webHidden/>
          </w:rPr>
          <w:t>2</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04" w:history="1">
        <w:r w:rsidR="0001501F" w:rsidRPr="0006662F">
          <w:rPr>
            <w:rStyle w:val="Lienhypertexte"/>
          </w:rPr>
          <w:t>I.2. Energie et masse</w:t>
        </w:r>
        <w:r w:rsidR="0001501F">
          <w:rPr>
            <w:webHidden/>
          </w:rPr>
          <w:tab/>
        </w:r>
        <w:r>
          <w:rPr>
            <w:webHidden/>
          </w:rPr>
          <w:fldChar w:fldCharType="begin"/>
        </w:r>
        <w:r w:rsidR="0001501F">
          <w:rPr>
            <w:webHidden/>
          </w:rPr>
          <w:instrText xml:space="preserve"> PAGEREF _Toc336593304 \h </w:instrText>
        </w:r>
        <w:r>
          <w:rPr>
            <w:webHidden/>
          </w:rPr>
        </w:r>
        <w:r>
          <w:rPr>
            <w:webHidden/>
          </w:rPr>
          <w:fldChar w:fldCharType="separate"/>
        </w:r>
        <w:r w:rsidR="00CC5190">
          <w:rPr>
            <w:webHidden/>
          </w:rPr>
          <w:t>3</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05" w:history="1">
        <w:r w:rsidR="0001501F" w:rsidRPr="0006662F">
          <w:rPr>
            <w:rStyle w:val="Lienhypertexte"/>
          </w:rPr>
          <w:t>I.3. Unités de mesure</w:t>
        </w:r>
        <w:r w:rsidR="0001501F">
          <w:rPr>
            <w:webHidden/>
          </w:rPr>
          <w:tab/>
        </w:r>
        <w:r>
          <w:rPr>
            <w:webHidden/>
          </w:rPr>
          <w:fldChar w:fldCharType="begin"/>
        </w:r>
        <w:r w:rsidR="0001501F">
          <w:rPr>
            <w:webHidden/>
          </w:rPr>
          <w:instrText xml:space="preserve"> PAGEREF _Toc336593305 \h </w:instrText>
        </w:r>
        <w:r>
          <w:rPr>
            <w:webHidden/>
          </w:rPr>
        </w:r>
        <w:r>
          <w:rPr>
            <w:webHidden/>
          </w:rPr>
          <w:fldChar w:fldCharType="separate"/>
        </w:r>
        <w:r w:rsidR="00CC5190">
          <w:rPr>
            <w:webHidden/>
          </w:rPr>
          <w:t>3</w:t>
        </w:r>
        <w:r>
          <w:rPr>
            <w:webHidden/>
          </w:rPr>
          <w:fldChar w:fldCharType="end"/>
        </w:r>
      </w:hyperlink>
    </w:p>
    <w:p w:rsidR="0001501F" w:rsidRDefault="00A454F2">
      <w:pPr>
        <w:pStyle w:val="TM1"/>
        <w:rPr>
          <w:rFonts w:eastAsiaTheme="minorEastAsia" w:cstheme="minorBidi"/>
          <w:b w:val="0"/>
          <w:bCs w:val="0"/>
          <w:kern w:val="0"/>
          <w:sz w:val="22"/>
          <w:szCs w:val="22"/>
          <w:lang w:eastAsia="fr-FR" w:bidi="ar-SA"/>
        </w:rPr>
      </w:pPr>
      <w:hyperlink w:anchor="_Toc336593306" w:history="1">
        <w:r w:rsidR="0001501F" w:rsidRPr="0006662F">
          <w:rPr>
            <w:rStyle w:val="Lienhypertexte"/>
            <w:rFonts w:ascii="Calibri" w:hAnsi="Calibri"/>
          </w:rPr>
          <w:t>II.</w:t>
        </w:r>
        <w:r w:rsidR="0001501F" w:rsidRPr="0006662F">
          <w:rPr>
            <w:rStyle w:val="Lienhypertexte"/>
          </w:rPr>
          <w:t xml:space="preserve"> Utilisation de l’énergie</w:t>
        </w:r>
        <w:r w:rsidR="0001501F">
          <w:rPr>
            <w:webHidden/>
          </w:rPr>
          <w:tab/>
        </w:r>
        <w:r>
          <w:rPr>
            <w:webHidden/>
          </w:rPr>
          <w:fldChar w:fldCharType="begin"/>
        </w:r>
        <w:r w:rsidR="0001501F">
          <w:rPr>
            <w:webHidden/>
          </w:rPr>
          <w:instrText xml:space="preserve"> PAGEREF _Toc336593306 \h </w:instrText>
        </w:r>
        <w:r>
          <w:rPr>
            <w:webHidden/>
          </w:rPr>
        </w:r>
        <w:r>
          <w:rPr>
            <w:webHidden/>
          </w:rPr>
          <w:fldChar w:fldCharType="separate"/>
        </w:r>
        <w:r w:rsidR="00CC5190">
          <w:rPr>
            <w:webHidden/>
          </w:rPr>
          <w:t>4</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07" w:history="1">
        <w:r w:rsidR="0001501F" w:rsidRPr="0006662F">
          <w:rPr>
            <w:rStyle w:val="Lienhypertexte"/>
          </w:rPr>
          <w:t>II.1. Vecteurs énergétiques et stockage</w:t>
        </w:r>
        <w:r w:rsidR="0001501F">
          <w:rPr>
            <w:webHidden/>
          </w:rPr>
          <w:tab/>
        </w:r>
        <w:r>
          <w:rPr>
            <w:webHidden/>
          </w:rPr>
          <w:fldChar w:fldCharType="begin"/>
        </w:r>
        <w:r w:rsidR="0001501F">
          <w:rPr>
            <w:webHidden/>
          </w:rPr>
          <w:instrText xml:space="preserve"> PAGEREF _Toc336593307 \h </w:instrText>
        </w:r>
        <w:r>
          <w:rPr>
            <w:webHidden/>
          </w:rPr>
        </w:r>
        <w:r>
          <w:rPr>
            <w:webHidden/>
          </w:rPr>
          <w:fldChar w:fldCharType="separate"/>
        </w:r>
        <w:r w:rsidR="00CC5190">
          <w:rPr>
            <w:webHidden/>
          </w:rPr>
          <w:t>4</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08" w:history="1">
        <w:r w:rsidR="0001501F" w:rsidRPr="0006662F">
          <w:rPr>
            <w:rStyle w:val="Lienhypertexte"/>
          </w:rPr>
          <w:t>II.1.i. L’électricité, vecteur énergétique</w:t>
        </w:r>
        <w:r w:rsidR="0001501F">
          <w:rPr>
            <w:webHidden/>
          </w:rPr>
          <w:tab/>
        </w:r>
        <w:r>
          <w:rPr>
            <w:webHidden/>
          </w:rPr>
          <w:fldChar w:fldCharType="begin"/>
        </w:r>
        <w:r w:rsidR="0001501F">
          <w:rPr>
            <w:webHidden/>
          </w:rPr>
          <w:instrText xml:space="preserve"> PAGEREF _Toc336593308 \h </w:instrText>
        </w:r>
        <w:r>
          <w:rPr>
            <w:webHidden/>
          </w:rPr>
        </w:r>
        <w:r>
          <w:rPr>
            <w:webHidden/>
          </w:rPr>
          <w:fldChar w:fldCharType="separate"/>
        </w:r>
        <w:r w:rsidR="00CC5190">
          <w:rPr>
            <w:webHidden/>
          </w:rPr>
          <w:t>4</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09" w:history="1">
        <w:r w:rsidR="0001501F" w:rsidRPr="0006662F">
          <w:rPr>
            <w:rStyle w:val="Lienhypertexte"/>
          </w:rPr>
          <w:t>II.1.ii. Problématique du stockage</w:t>
        </w:r>
        <w:r w:rsidR="0001501F">
          <w:rPr>
            <w:webHidden/>
          </w:rPr>
          <w:tab/>
        </w:r>
        <w:r>
          <w:rPr>
            <w:webHidden/>
          </w:rPr>
          <w:fldChar w:fldCharType="begin"/>
        </w:r>
        <w:r w:rsidR="0001501F">
          <w:rPr>
            <w:webHidden/>
          </w:rPr>
          <w:instrText xml:space="preserve"> PAGEREF _Toc336593309 \h </w:instrText>
        </w:r>
        <w:r>
          <w:rPr>
            <w:webHidden/>
          </w:rPr>
        </w:r>
        <w:r>
          <w:rPr>
            <w:webHidden/>
          </w:rPr>
          <w:fldChar w:fldCharType="separate"/>
        </w:r>
        <w:r w:rsidR="00CC5190">
          <w:rPr>
            <w:webHidden/>
          </w:rPr>
          <w:t>5</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10" w:history="1">
        <w:r w:rsidR="0001501F" w:rsidRPr="0006662F">
          <w:rPr>
            <w:rStyle w:val="Lienhypertexte"/>
          </w:rPr>
          <w:t>II.2. Les sources d’énergie</w:t>
        </w:r>
        <w:r w:rsidR="0001501F">
          <w:rPr>
            <w:webHidden/>
          </w:rPr>
          <w:tab/>
        </w:r>
        <w:r>
          <w:rPr>
            <w:webHidden/>
          </w:rPr>
          <w:fldChar w:fldCharType="begin"/>
        </w:r>
        <w:r w:rsidR="0001501F">
          <w:rPr>
            <w:webHidden/>
          </w:rPr>
          <w:instrText xml:space="preserve"> PAGEREF _Toc336593310 \h </w:instrText>
        </w:r>
        <w:r>
          <w:rPr>
            <w:webHidden/>
          </w:rPr>
        </w:r>
        <w:r>
          <w:rPr>
            <w:webHidden/>
          </w:rPr>
          <w:fldChar w:fldCharType="separate"/>
        </w:r>
        <w:r w:rsidR="00CC5190">
          <w:rPr>
            <w:webHidden/>
          </w:rPr>
          <w:t>6</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11" w:history="1">
        <w:r w:rsidR="0001501F" w:rsidRPr="0006662F">
          <w:rPr>
            <w:rStyle w:val="Lienhypertexte"/>
          </w:rPr>
          <w:t>II.2.i. Les énergies fossiles</w:t>
        </w:r>
        <w:r w:rsidR="0001501F">
          <w:rPr>
            <w:webHidden/>
          </w:rPr>
          <w:tab/>
        </w:r>
        <w:r>
          <w:rPr>
            <w:webHidden/>
          </w:rPr>
          <w:fldChar w:fldCharType="begin"/>
        </w:r>
        <w:r w:rsidR="0001501F">
          <w:rPr>
            <w:webHidden/>
          </w:rPr>
          <w:instrText xml:space="preserve"> PAGEREF _Toc336593311 \h </w:instrText>
        </w:r>
        <w:r>
          <w:rPr>
            <w:webHidden/>
          </w:rPr>
        </w:r>
        <w:r>
          <w:rPr>
            <w:webHidden/>
          </w:rPr>
          <w:fldChar w:fldCharType="separate"/>
        </w:r>
        <w:r w:rsidR="00CC5190">
          <w:rPr>
            <w:webHidden/>
          </w:rPr>
          <w:t>6</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12" w:history="1">
        <w:r w:rsidR="0001501F" w:rsidRPr="0006662F">
          <w:rPr>
            <w:rStyle w:val="Lienhypertexte"/>
          </w:rPr>
          <w:t>II.2.ii. Les énergies renouvelables</w:t>
        </w:r>
        <w:r w:rsidR="0001501F">
          <w:rPr>
            <w:webHidden/>
          </w:rPr>
          <w:tab/>
        </w:r>
        <w:r>
          <w:rPr>
            <w:webHidden/>
          </w:rPr>
          <w:fldChar w:fldCharType="begin"/>
        </w:r>
        <w:r w:rsidR="0001501F">
          <w:rPr>
            <w:webHidden/>
          </w:rPr>
          <w:instrText xml:space="preserve"> PAGEREF _Toc336593312 \h </w:instrText>
        </w:r>
        <w:r>
          <w:rPr>
            <w:webHidden/>
          </w:rPr>
        </w:r>
        <w:r>
          <w:rPr>
            <w:webHidden/>
          </w:rPr>
          <w:fldChar w:fldCharType="separate"/>
        </w:r>
        <w:r w:rsidR="00CC5190">
          <w:rPr>
            <w:webHidden/>
          </w:rPr>
          <w:t>7</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13" w:history="1">
        <w:r w:rsidR="0001501F" w:rsidRPr="0006662F">
          <w:rPr>
            <w:rStyle w:val="Lienhypertexte"/>
          </w:rPr>
          <w:t>II.2.iii. L’énergie nucléaire</w:t>
        </w:r>
        <w:r w:rsidR="0001501F">
          <w:rPr>
            <w:webHidden/>
          </w:rPr>
          <w:tab/>
        </w:r>
        <w:r>
          <w:rPr>
            <w:webHidden/>
          </w:rPr>
          <w:fldChar w:fldCharType="begin"/>
        </w:r>
        <w:r w:rsidR="0001501F">
          <w:rPr>
            <w:webHidden/>
          </w:rPr>
          <w:instrText xml:space="preserve"> PAGEREF _Toc336593313 \h </w:instrText>
        </w:r>
        <w:r>
          <w:rPr>
            <w:webHidden/>
          </w:rPr>
        </w:r>
        <w:r>
          <w:rPr>
            <w:webHidden/>
          </w:rPr>
          <w:fldChar w:fldCharType="separate"/>
        </w:r>
        <w:r w:rsidR="00CC5190">
          <w:rPr>
            <w:webHidden/>
          </w:rPr>
          <w:t>11</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14" w:history="1">
        <w:r w:rsidR="0001501F" w:rsidRPr="0006662F">
          <w:rPr>
            <w:rStyle w:val="Lienhypertexte"/>
          </w:rPr>
          <w:t>II.2.iv. Quelques chiffres</w:t>
        </w:r>
        <w:r w:rsidR="0001501F">
          <w:rPr>
            <w:webHidden/>
          </w:rPr>
          <w:tab/>
        </w:r>
        <w:r>
          <w:rPr>
            <w:webHidden/>
          </w:rPr>
          <w:fldChar w:fldCharType="begin"/>
        </w:r>
        <w:r w:rsidR="0001501F">
          <w:rPr>
            <w:webHidden/>
          </w:rPr>
          <w:instrText xml:space="preserve"> PAGEREF _Toc336593314 \h </w:instrText>
        </w:r>
        <w:r>
          <w:rPr>
            <w:webHidden/>
          </w:rPr>
        </w:r>
        <w:r>
          <w:rPr>
            <w:webHidden/>
          </w:rPr>
          <w:fldChar w:fldCharType="separate"/>
        </w:r>
        <w:r w:rsidR="00CC5190">
          <w:rPr>
            <w:webHidden/>
          </w:rPr>
          <w:t>13</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15" w:history="1">
        <w:r w:rsidR="0001501F" w:rsidRPr="0006662F">
          <w:rPr>
            <w:rStyle w:val="Lienhypertexte"/>
          </w:rPr>
          <w:t>II.3. L’impact environnemental</w:t>
        </w:r>
        <w:r w:rsidR="0001501F">
          <w:rPr>
            <w:webHidden/>
          </w:rPr>
          <w:tab/>
        </w:r>
        <w:r>
          <w:rPr>
            <w:webHidden/>
          </w:rPr>
          <w:fldChar w:fldCharType="begin"/>
        </w:r>
        <w:r w:rsidR="0001501F">
          <w:rPr>
            <w:webHidden/>
          </w:rPr>
          <w:instrText xml:space="preserve"> PAGEREF _Toc336593315 \h </w:instrText>
        </w:r>
        <w:r>
          <w:rPr>
            <w:webHidden/>
          </w:rPr>
        </w:r>
        <w:r>
          <w:rPr>
            <w:webHidden/>
          </w:rPr>
          <w:fldChar w:fldCharType="separate"/>
        </w:r>
        <w:r w:rsidR="00CC5190">
          <w:rPr>
            <w:webHidden/>
          </w:rPr>
          <w:t>14</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16" w:history="1">
        <w:r w:rsidR="0001501F" w:rsidRPr="0006662F">
          <w:rPr>
            <w:rStyle w:val="Lienhypertexte"/>
          </w:rPr>
          <w:t>II.3.i. Gaz à effet de serre et changement climatique</w:t>
        </w:r>
        <w:r w:rsidR="0001501F">
          <w:rPr>
            <w:webHidden/>
          </w:rPr>
          <w:tab/>
        </w:r>
        <w:r>
          <w:rPr>
            <w:webHidden/>
          </w:rPr>
          <w:fldChar w:fldCharType="begin"/>
        </w:r>
        <w:r w:rsidR="0001501F">
          <w:rPr>
            <w:webHidden/>
          </w:rPr>
          <w:instrText xml:space="preserve"> PAGEREF _Toc336593316 \h </w:instrText>
        </w:r>
        <w:r>
          <w:rPr>
            <w:webHidden/>
          </w:rPr>
        </w:r>
        <w:r>
          <w:rPr>
            <w:webHidden/>
          </w:rPr>
          <w:fldChar w:fldCharType="separate"/>
        </w:r>
        <w:r w:rsidR="00CC5190">
          <w:rPr>
            <w:webHidden/>
          </w:rPr>
          <w:t>14</w:t>
        </w:r>
        <w:r>
          <w:rPr>
            <w:webHidden/>
          </w:rPr>
          <w:fldChar w:fldCharType="end"/>
        </w:r>
      </w:hyperlink>
    </w:p>
    <w:p w:rsidR="0001501F" w:rsidRDefault="00A454F2">
      <w:pPr>
        <w:pStyle w:val="TM3"/>
        <w:rPr>
          <w:rFonts w:eastAsiaTheme="minorEastAsia" w:cstheme="minorBidi"/>
          <w:b w:val="0"/>
          <w:kern w:val="0"/>
          <w:sz w:val="22"/>
          <w:szCs w:val="22"/>
          <w:lang w:eastAsia="fr-FR" w:bidi="ar-SA"/>
        </w:rPr>
      </w:pPr>
      <w:hyperlink w:anchor="_Toc336593317" w:history="1">
        <w:r w:rsidR="0001501F" w:rsidRPr="0006662F">
          <w:rPr>
            <w:rStyle w:val="Lienhypertexte"/>
          </w:rPr>
          <w:t>II.3.ii. Qualité de vie et écosystèmes</w:t>
        </w:r>
        <w:r w:rsidR="0001501F">
          <w:rPr>
            <w:webHidden/>
          </w:rPr>
          <w:tab/>
        </w:r>
        <w:r>
          <w:rPr>
            <w:webHidden/>
          </w:rPr>
          <w:fldChar w:fldCharType="begin"/>
        </w:r>
        <w:r w:rsidR="0001501F">
          <w:rPr>
            <w:webHidden/>
          </w:rPr>
          <w:instrText xml:space="preserve"> PAGEREF _Toc336593317 \h </w:instrText>
        </w:r>
        <w:r>
          <w:rPr>
            <w:webHidden/>
          </w:rPr>
        </w:r>
        <w:r>
          <w:rPr>
            <w:webHidden/>
          </w:rPr>
          <w:fldChar w:fldCharType="separate"/>
        </w:r>
        <w:r w:rsidR="00CC5190">
          <w:rPr>
            <w:webHidden/>
          </w:rPr>
          <w:t>15</w:t>
        </w:r>
        <w:r>
          <w:rPr>
            <w:webHidden/>
          </w:rPr>
          <w:fldChar w:fldCharType="end"/>
        </w:r>
      </w:hyperlink>
    </w:p>
    <w:p w:rsidR="0001501F" w:rsidRDefault="00A454F2">
      <w:pPr>
        <w:pStyle w:val="TM1"/>
        <w:rPr>
          <w:rFonts w:eastAsiaTheme="minorEastAsia" w:cstheme="minorBidi"/>
          <w:b w:val="0"/>
          <w:bCs w:val="0"/>
          <w:kern w:val="0"/>
          <w:sz w:val="22"/>
          <w:szCs w:val="22"/>
          <w:lang w:eastAsia="fr-FR" w:bidi="ar-SA"/>
        </w:rPr>
      </w:pPr>
      <w:hyperlink w:anchor="_Toc336593318" w:history="1">
        <w:r w:rsidR="0001501F" w:rsidRPr="0006662F">
          <w:rPr>
            <w:rStyle w:val="Lienhypertexte"/>
            <w:rFonts w:ascii="Calibri" w:hAnsi="Calibri"/>
          </w:rPr>
          <w:t>III.</w:t>
        </w:r>
        <w:r w:rsidR="0001501F" w:rsidRPr="0006662F">
          <w:rPr>
            <w:rStyle w:val="Lienhypertexte"/>
          </w:rPr>
          <w:t xml:space="preserve"> Consommation et politiques énergétiques</w:t>
        </w:r>
        <w:r w:rsidR="0001501F">
          <w:rPr>
            <w:webHidden/>
          </w:rPr>
          <w:tab/>
        </w:r>
        <w:r>
          <w:rPr>
            <w:webHidden/>
          </w:rPr>
          <w:fldChar w:fldCharType="begin"/>
        </w:r>
        <w:r w:rsidR="0001501F">
          <w:rPr>
            <w:webHidden/>
          </w:rPr>
          <w:instrText xml:space="preserve"> PAGEREF _Toc336593318 \h </w:instrText>
        </w:r>
        <w:r>
          <w:rPr>
            <w:webHidden/>
          </w:rPr>
        </w:r>
        <w:r>
          <w:rPr>
            <w:webHidden/>
          </w:rPr>
          <w:fldChar w:fldCharType="separate"/>
        </w:r>
        <w:r w:rsidR="00CC5190">
          <w:rPr>
            <w:webHidden/>
          </w:rPr>
          <w:t>16</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19" w:history="1">
        <w:r w:rsidR="0001501F" w:rsidRPr="0006662F">
          <w:rPr>
            <w:rStyle w:val="Lienhypertexte"/>
          </w:rPr>
          <w:t>III.1. Consommation énergétique en France par secteur d’activité</w:t>
        </w:r>
        <w:r w:rsidR="0001501F">
          <w:rPr>
            <w:webHidden/>
          </w:rPr>
          <w:tab/>
        </w:r>
        <w:r>
          <w:rPr>
            <w:webHidden/>
          </w:rPr>
          <w:fldChar w:fldCharType="begin"/>
        </w:r>
        <w:r w:rsidR="0001501F">
          <w:rPr>
            <w:webHidden/>
          </w:rPr>
          <w:instrText xml:space="preserve"> PAGEREF _Toc336593319 \h </w:instrText>
        </w:r>
        <w:r>
          <w:rPr>
            <w:webHidden/>
          </w:rPr>
        </w:r>
        <w:r>
          <w:rPr>
            <w:webHidden/>
          </w:rPr>
          <w:fldChar w:fldCharType="separate"/>
        </w:r>
        <w:r w:rsidR="00CC5190">
          <w:rPr>
            <w:webHidden/>
          </w:rPr>
          <w:t>16</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20" w:history="1">
        <w:r w:rsidR="0001501F" w:rsidRPr="0006662F">
          <w:rPr>
            <w:rStyle w:val="Lienhypertexte"/>
          </w:rPr>
          <w:t>III.2. Le développement durable</w:t>
        </w:r>
        <w:r w:rsidR="0001501F">
          <w:rPr>
            <w:webHidden/>
          </w:rPr>
          <w:tab/>
        </w:r>
        <w:r>
          <w:rPr>
            <w:webHidden/>
          </w:rPr>
          <w:fldChar w:fldCharType="begin"/>
        </w:r>
        <w:r w:rsidR="0001501F">
          <w:rPr>
            <w:webHidden/>
          </w:rPr>
          <w:instrText xml:space="preserve"> PAGEREF _Toc336593320 \h </w:instrText>
        </w:r>
        <w:r>
          <w:rPr>
            <w:webHidden/>
          </w:rPr>
        </w:r>
        <w:r>
          <w:rPr>
            <w:webHidden/>
          </w:rPr>
          <w:fldChar w:fldCharType="separate"/>
        </w:r>
        <w:r w:rsidR="00CC5190">
          <w:rPr>
            <w:webHidden/>
          </w:rPr>
          <w:t>17</w:t>
        </w:r>
        <w:r>
          <w:rPr>
            <w:webHidden/>
          </w:rPr>
          <w:fldChar w:fldCharType="end"/>
        </w:r>
      </w:hyperlink>
    </w:p>
    <w:p w:rsidR="0001501F" w:rsidRDefault="00A454F2">
      <w:pPr>
        <w:pStyle w:val="TM1"/>
        <w:rPr>
          <w:rFonts w:eastAsiaTheme="minorEastAsia" w:cstheme="minorBidi"/>
          <w:b w:val="0"/>
          <w:bCs w:val="0"/>
          <w:kern w:val="0"/>
          <w:sz w:val="22"/>
          <w:szCs w:val="22"/>
          <w:lang w:eastAsia="fr-FR" w:bidi="ar-SA"/>
        </w:rPr>
      </w:pPr>
      <w:hyperlink w:anchor="_Toc336593321" w:history="1">
        <w:r w:rsidR="0001501F" w:rsidRPr="0006662F">
          <w:rPr>
            <w:rStyle w:val="Lienhypertexte"/>
            <w:rFonts w:ascii="Calibri" w:hAnsi="Calibri"/>
          </w:rPr>
          <w:t>IV.</w:t>
        </w:r>
        <w:r w:rsidR="0001501F" w:rsidRPr="0006662F">
          <w:rPr>
            <w:rStyle w:val="Lienhypertexte"/>
          </w:rPr>
          <w:t xml:space="preserve"> Transformation de l’énergie</w:t>
        </w:r>
        <w:r w:rsidR="0001501F">
          <w:rPr>
            <w:webHidden/>
          </w:rPr>
          <w:tab/>
        </w:r>
        <w:r>
          <w:rPr>
            <w:webHidden/>
          </w:rPr>
          <w:fldChar w:fldCharType="begin"/>
        </w:r>
        <w:r w:rsidR="0001501F">
          <w:rPr>
            <w:webHidden/>
          </w:rPr>
          <w:instrText xml:space="preserve"> PAGEREF _Toc336593321 \h </w:instrText>
        </w:r>
        <w:r>
          <w:rPr>
            <w:webHidden/>
          </w:rPr>
        </w:r>
        <w:r>
          <w:rPr>
            <w:webHidden/>
          </w:rPr>
          <w:fldChar w:fldCharType="separate"/>
        </w:r>
        <w:r w:rsidR="00CC5190">
          <w:rPr>
            <w:webHidden/>
          </w:rPr>
          <w:t>19</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22" w:history="1">
        <w:r w:rsidR="0001501F" w:rsidRPr="0006662F">
          <w:rPr>
            <w:rStyle w:val="Lienhypertexte"/>
          </w:rPr>
          <w:t>IV.1. De l’énergie chimique à l’énergie thermique : la combustion d’une bougie</w:t>
        </w:r>
        <w:r w:rsidR="0001501F">
          <w:rPr>
            <w:webHidden/>
          </w:rPr>
          <w:tab/>
        </w:r>
        <w:r>
          <w:rPr>
            <w:webHidden/>
          </w:rPr>
          <w:fldChar w:fldCharType="begin"/>
        </w:r>
        <w:r w:rsidR="0001501F">
          <w:rPr>
            <w:webHidden/>
          </w:rPr>
          <w:instrText xml:space="preserve"> PAGEREF _Toc336593322 \h </w:instrText>
        </w:r>
        <w:r>
          <w:rPr>
            <w:webHidden/>
          </w:rPr>
        </w:r>
        <w:r>
          <w:rPr>
            <w:webHidden/>
          </w:rPr>
          <w:fldChar w:fldCharType="separate"/>
        </w:r>
        <w:r w:rsidR="00CC5190">
          <w:rPr>
            <w:webHidden/>
          </w:rPr>
          <w:t>19</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23" w:history="1">
        <w:r w:rsidR="0001501F" w:rsidRPr="0006662F">
          <w:rPr>
            <w:rStyle w:val="Lienhypertexte"/>
          </w:rPr>
          <w:t>IV.2. De l’énergie chimique à l’énergie électrique : la pile Volta</w:t>
        </w:r>
        <w:r w:rsidR="0001501F">
          <w:rPr>
            <w:webHidden/>
          </w:rPr>
          <w:tab/>
        </w:r>
        <w:r>
          <w:rPr>
            <w:webHidden/>
          </w:rPr>
          <w:fldChar w:fldCharType="begin"/>
        </w:r>
        <w:r w:rsidR="0001501F">
          <w:rPr>
            <w:webHidden/>
          </w:rPr>
          <w:instrText xml:space="preserve"> PAGEREF _Toc336593323 \h </w:instrText>
        </w:r>
        <w:r>
          <w:rPr>
            <w:webHidden/>
          </w:rPr>
        </w:r>
        <w:r>
          <w:rPr>
            <w:webHidden/>
          </w:rPr>
          <w:fldChar w:fldCharType="separate"/>
        </w:r>
        <w:r w:rsidR="00CC5190">
          <w:rPr>
            <w:webHidden/>
          </w:rPr>
          <w:t>20</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24" w:history="1">
        <w:r w:rsidR="0001501F" w:rsidRPr="0006662F">
          <w:rPr>
            <w:rStyle w:val="Lienhypertexte"/>
          </w:rPr>
          <w:t>IV.3. De l’énergie électrique à l’énergie thermique : l’effet Joule</w:t>
        </w:r>
        <w:r w:rsidR="0001501F">
          <w:rPr>
            <w:webHidden/>
          </w:rPr>
          <w:tab/>
        </w:r>
        <w:r>
          <w:rPr>
            <w:webHidden/>
          </w:rPr>
          <w:fldChar w:fldCharType="begin"/>
        </w:r>
        <w:r w:rsidR="0001501F">
          <w:rPr>
            <w:webHidden/>
          </w:rPr>
          <w:instrText xml:space="preserve"> PAGEREF _Toc336593324 \h </w:instrText>
        </w:r>
        <w:r>
          <w:rPr>
            <w:webHidden/>
          </w:rPr>
        </w:r>
        <w:r>
          <w:rPr>
            <w:webHidden/>
          </w:rPr>
          <w:fldChar w:fldCharType="separate"/>
        </w:r>
        <w:r w:rsidR="00CC5190">
          <w:rPr>
            <w:webHidden/>
          </w:rPr>
          <w:t>21</w:t>
        </w:r>
        <w:r>
          <w:rPr>
            <w:webHidden/>
          </w:rPr>
          <w:fldChar w:fldCharType="end"/>
        </w:r>
      </w:hyperlink>
    </w:p>
    <w:p w:rsidR="0001501F" w:rsidRDefault="00A454F2">
      <w:pPr>
        <w:pStyle w:val="TM2"/>
        <w:rPr>
          <w:rFonts w:eastAsiaTheme="minorEastAsia" w:cstheme="minorBidi"/>
          <w:bCs w:val="0"/>
          <w:kern w:val="0"/>
          <w:sz w:val="22"/>
          <w:szCs w:val="22"/>
          <w:lang w:eastAsia="fr-FR" w:bidi="ar-SA"/>
        </w:rPr>
      </w:pPr>
      <w:hyperlink w:anchor="_Toc336593325" w:history="1">
        <w:r w:rsidR="0001501F" w:rsidRPr="0006662F">
          <w:rPr>
            <w:rStyle w:val="Lienhypertexte"/>
          </w:rPr>
          <w:t>IV.4. De l’énergie électrique à l’énergie chimique : l’électrolyse de l’eau</w:t>
        </w:r>
        <w:r w:rsidR="0001501F">
          <w:rPr>
            <w:webHidden/>
          </w:rPr>
          <w:tab/>
        </w:r>
        <w:r>
          <w:rPr>
            <w:webHidden/>
          </w:rPr>
          <w:fldChar w:fldCharType="begin"/>
        </w:r>
        <w:r w:rsidR="0001501F">
          <w:rPr>
            <w:webHidden/>
          </w:rPr>
          <w:instrText xml:space="preserve"> PAGEREF _Toc336593325 \h </w:instrText>
        </w:r>
        <w:r>
          <w:rPr>
            <w:webHidden/>
          </w:rPr>
        </w:r>
        <w:r>
          <w:rPr>
            <w:webHidden/>
          </w:rPr>
          <w:fldChar w:fldCharType="separate"/>
        </w:r>
        <w:r w:rsidR="00CC5190">
          <w:rPr>
            <w:webHidden/>
          </w:rPr>
          <w:t>22</w:t>
        </w:r>
        <w:r>
          <w:rPr>
            <w:webHidden/>
          </w:rPr>
          <w:fldChar w:fldCharType="end"/>
        </w:r>
      </w:hyperlink>
    </w:p>
    <w:p w:rsidR="0001501F" w:rsidRDefault="00A454F2">
      <w:pPr>
        <w:pStyle w:val="TM1"/>
        <w:rPr>
          <w:rFonts w:eastAsiaTheme="minorEastAsia" w:cstheme="minorBidi"/>
          <w:b w:val="0"/>
          <w:bCs w:val="0"/>
          <w:kern w:val="0"/>
          <w:sz w:val="22"/>
          <w:szCs w:val="22"/>
          <w:lang w:eastAsia="fr-FR" w:bidi="ar-SA"/>
        </w:rPr>
      </w:pPr>
      <w:hyperlink w:anchor="_Toc336593326" w:history="1">
        <w:r w:rsidR="0001501F" w:rsidRPr="0006662F">
          <w:rPr>
            <w:rStyle w:val="Lienhypertexte"/>
            <w:rFonts w:ascii="Calibri" w:hAnsi="Calibri"/>
          </w:rPr>
          <w:t>V.</w:t>
        </w:r>
        <w:r w:rsidR="0001501F" w:rsidRPr="0006662F">
          <w:rPr>
            <w:rStyle w:val="Lienhypertexte"/>
          </w:rPr>
          <w:t xml:space="preserve"> Raisonner en termes d’énergie</w:t>
        </w:r>
        <w:r w:rsidR="0001501F">
          <w:rPr>
            <w:webHidden/>
          </w:rPr>
          <w:tab/>
        </w:r>
        <w:r>
          <w:rPr>
            <w:webHidden/>
          </w:rPr>
          <w:fldChar w:fldCharType="begin"/>
        </w:r>
        <w:r w:rsidR="0001501F">
          <w:rPr>
            <w:webHidden/>
          </w:rPr>
          <w:instrText xml:space="preserve"> PAGEREF _Toc336593326 \h </w:instrText>
        </w:r>
        <w:r>
          <w:rPr>
            <w:webHidden/>
          </w:rPr>
        </w:r>
        <w:r>
          <w:rPr>
            <w:webHidden/>
          </w:rPr>
          <w:fldChar w:fldCharType="separate"/>
        </w:r>
        <w:r w:rsidR="00CC5190">
          <w:rPr>
            <w:webHidden/>
          </w:rPr>
          <w:t>24</w:t>
        </w:r>
        <w:r>
          <w:rPr>
            <w:webHidden/>
          </w:rPr>
          <w:fldChar w:fldCharType="end"/>
        </w:r>
      </w:hyperlink>
    </w:p>
    <w:p w:rsidR="00833C3C" w:rsidRDefault="00A454F2" w:rsidP="009D7296">
      <w:pPr>
        <w:pStyle w:val="Doc-corpsdetexte"/>
        <w:rPr>
          <w:noProof/>
          <w:kern w:val="24"/>
        </w:rPr>
      </w:pPr>
      <w:r>
        <w:rPr>
          <w:rFonts w:asciiTheme="majorHAnsi" w:hAnsiTheme="majorHAnsi" w:cs="Arial Unicode MS"/>
          <w:b/>
          <w:bCs/>
          <w:smallCaps/>
          <w:noProof/>
          <w:kern w:val="24"/>
          <w:sz w:val="28"/>
          <w:szCs w:val="28"/>
        </w:rPr>
        <w:fldChar w:fldCharType="end"/>
      </w:r>
    </w:p>
    <w:p w:rsidR="00833C3C" w:rsidRDefault="00833C3C">
      <w:pPr>
        <w:widowControl/>
        <w:suppressAutoHyphens w:val="0"/>
        <w:rPr>
          <w:rFonts w:asciiTheme="majorHAnsi" w:hAnsiTheme="majorHAnsi"/>
          <w:bCs/>
          <w:smallCaps/>
          <w:noProof/>
          <w:kern w:val="24"/>
        </w:rPr>
      </w:pPr>
      <w:r>
        <w:rPr>
          <w:rFonts w:asciiTheme="majorHAnsi" w:hAnsiTheme="majorHAnsi"/>
          <w:bCs/>
          <w:smallCaps/>
          <w:noProof/>
          <w:kern w:val="24"/>
        </w:rPr>
        <w:br w:type="page"/>
      </w:r>
    </w:p>
    <w:p w:rsidR="00C024A7" w:rsidRDefault="00C024A7" w:rsidP="009D7296">
      <w:pPr>
        <w:pStyle w:val="Doc-titre1"/>
        <w:rPr>
          <w:color w:val="003399"/>
        </w:rPr>
        <w:sectPr w:rsidR="00C024A7" w:rsidSect="00CA5FCC">
          <w:headerReference w:type="default" r:id="rId8"/>
          <w:endnotePr>
            <w:numFmt w:val="decimal"/>
          </w:endnotePr>
          <w:pgSz w:w="16838" w:h="11906" w:orient="landscape" w:code="9"/>
          <w:pgMar w:top="1134" w:right="1134" w:bottom="567" w:left="1418" w:header="567" w:footer="0" w:gutter="0"/>
          <w:cols w:space="708"/>
          <w:docGrid w:linePitch="360"/>
        </w:sectPr>
      </w:pPr>
    </w:p>
    <w:p w:rsidR="004908FF" w:rsidRPr="00421E82" w:rsidRDefault="004908FF" w:rsidP="00156A5B">
      <w:pPr>
        <w:pStyle w:val="Doc-titre2"/>
      </w:pPr>
      <w:bookmarkStart w:id="0" w:name="_Toc336593302"/>
      <w:r w:rsidRPr="00421E82">
        <w:lastRenderedPageBreak/>
        <w:t>Qu’est-ce que l’énergie ?</w:t>
      </w:r>
      <w:bookmarkEnd w:id="0"/>
    </w:p>
    <w:p w:rsidR="008C570D" w:rsidRPr="009D7296" w:rsidRDefault="00A454F2" w:rsidP="009D7296">
      <w:pPr>
        <w:pStyle w:val="Doc-corpsdetexte"/>
      </w:pPr>
      <w:r>
        <w:rPr>
          <w:noProof/>
          <w:lang w:eastAsia="fr-FR" w:bidi="ar-SA"/>
        </w:rPr>
        <w:pict>
          <v:shapetype id="_x0000_t202" coordsize="21600,21600" o:spt="202" path="m,l,21600r21600,l21600,xe">
            <v:stroke joinstyle="miter"/>
            <v:path gradientshapeok="t" o:connecttype="rect"/>
          </v:shapetype>
          <v:shape id="_x0000_s1392" type="#_x0000_t202" style="position:absolute;left:0;text-align:left;margin-left:-28.35pt;margin-top:4pt;width:27.7pt;height:44.85pt;z-index:-251279360;mso-position-horizontal-relative:margin" fillcolor="#f60" strokeweight="1pt">
            <v:fill color2="#ffc000" rotate="t" angle="-90" focus="100%" type="gradient"/>
            <o:lock v:ext="edit" aspectratio="t"/>
            <v:textbox style="mso-next-textbox:#_x0000_s1392">
              <w:txbxContent>
                <w:p w:rsidR="009811EF" w:rsidRPr="00DD2F9B" w:rsidRDefault="009811EF" w:rsidP="006F7BEF">
                  <w:pPr>
                    <w:jc w:val="center"/>
                    <w:rPr>
                      <w:rFonts w:ascii="Colonna MT" w:hAnsi="Colonna MT"/>
                      <w:b/>
                      <w:sz w:val="40"/>
                      <w:szCs w:val="40"/>
                    </w:rPr>
                  </w:pPr>
                  <w:r w:rsidRPr="00DD2F9B">
                    <w:rPr>
                      <w:rFonts w:ascii="Colonna MT" w:hAnsi="Colonna MT"/>
                      <w:b/>
                      <w:sz w:val="40"/>
                      <w:szCs w:val="40"/>
                    </w:rPr>
                    <w:t>C</w:t>
                  </w:r>
                </w:p>
              </w:txbxContent>
            </v:textbox>
            <w10:wrap anchorx="margin"/>
          </v:shape>
        </w:pict>
      </w:r>
      <w:r w:rsidR="001126DC" w:rsidRPr="009D7296">
        <w:t xml:space="preserve">L’énergie est une </w:t>
      </w:r>
      <w:r w:rsidR="00810CC3" w:rsidRPr="009D7296">
        <w:t>grandeur</w:t>
      </w:r>
      <w:r w:rsidR="001126DC" w:rsidRPr="009D7296">
        <w:t xml:space="preserve"> fondamental</w:t>
      </w:r>
      <w:r w:rsidR="00810CC3" w:rsidRPr="009D7296">
        <w:t>e</w:t>
      </w:r>
      <w:r w:rsidR="001126DC" w:rsidRPr="009D7296">
        <w:t xml:space="preserve"> de la physique</w:t>
      </w:r>
      <w:r w:rsidR="00810CC3" w:rsidRPr="009D7296">
        <w:t>. Elle caractérise la capacité d’un système à modifier un état : changer la température, effectuer un déplacement, émettre un rayonnement, etc. L’énergie peut exister sous forme potentielle dans un système, ou devenir apparente et mesurable par ses manifestations.</w:t>
      </w:r>
      <w:r w:rsidR="008C570D" w:rsidRPr="009D7296">
        <w:t xml:space="preserve"> </w:t>
      </w:r>
      <w:r w:rsidR="0037238B" w:rsidRPr="009D7296">
        <w:t xml:space="preserve">L’énergie est une grandeur qui se conserve, c’est-à-dire que sa quantité demeure constante au cours du temps. </w:t>
      </w:r>
      <w:r w:rsidR="00FE3BA4" w:rsidRPr="009D7296">
        <w:t xml:space="preserve">Toute l’énergie qui existe actuellement dans l’univers était déjà présente au moment du Big Bang. L’énergie </w:t>
      </w:r>
      <w:r w:rsidR="0037238B" w:rsidRPr="009D7296">
        <w:t>peut changer de forme ou être transférée d’un système à un autre, mais elle n’est jamais créée ni détruite.</w:t>
      </w:r>
    </w:p>
    <w:p w:rsidR="00464943" w:rsidRPr="009D7296" w:rsidRDefault="007828D4" w:rsidP="009D7296">
      <w:pPr>
        <w:pStyle w:val="Doc-corpsdetexte"/>
      </w:pPr>
      <w:r w:rsidRPr="009D7296">
        <w:t>Dans la vie courante, on s’intéresse à la quantité d’énergie que nous utilisons pour effectuer les changement</w:t>
      </w:r>
      <w:r w:rsidR="004D48D4" w:rsidRPr="009D7296">
        <w:t>s</w:t>
      </w:r>
      <w:r w:rsidRPr="009D7296">
        <w:t xml:space="preserve"> d’état qui nous </w:t>
      </w:r>
      <w:r w:rsidR="00025F6B" w:rsidRPr="009D7296">
        <w:t>sont nécessaires</w:t>
      </w:r>
      <w:r w:rsidRPr="009D7296">
        <w:t xml:space="preserve"> : chauffage, </w:t>
      </w:r>
      <w:r w:rsidR="004D48D4" w:rsidRPr="009D7296">
        <w:t>t</w:t>
      </w:r>
      <w:r w:rsidRPr="009D7296">
        <w:t>ransport, cuisson, fabrication industrielle…</w:t>
      </w:r>
      <w:r w:rsidR="004D48D4" w:rsidRPr="009D7296">
        <w:t xml:space="preserve"> Chaque transformation nécessite que l’énergie soit sous une forme particulière. On est donc amené à </w:t>
      </w:r>
      <w:r w:rsidR="007C0070">
        <w:t>trouver les</w:t>
      </w:r>
      <w:r w:rsidR="004D48D4" w:rsidRPr="009D7296">
        <w:t xml:space="preserve"> moyens de mettre l’énergie sous ces formes, ce qu’on appelle communément la production d’énergie. Une</w:t>
      </w:r>
      <w:r w:rsidR="00E01F29" w:rsidRPr="009D7296">
        <w:t xml:space="preserve"> source d’énergie, </w:t>
      </w:r>
      <w:r w:rsidR="004D48D4" w:rsidRPr="009D7296">
        <w:t xml:space="preserve">ce n’est donc pas </w:t>
      </w:r>
      <w:r w:rsidR="00E01F29" w:rsidRPr="009D7296">
        <w:t>un système qui crée de l’</w:t>
      </w:r>
      <w:r w:rsidR="004D48D4" w:rsidRPr="009D7296">
        <w:t xml:space="preserve">énergie à partir de rien, mais </w:t>
      </w:r>
      <w:r w:rsidR="00446238" w:rsidRPr="009D7296">
        <w:t>un système qui la met à notre disposition sous une forme exploitable</w:t>
      </w:r>
      <w:r w:rsidR="00E01F29" w:rsidRPr="009D7296">
        <w:t>.</w:t>
      </w:r>
      <w:r w:rsidR="005B58A1" w:rsidRPr="009D7296">
        <w:t xml:space="preserve"> </w:t>
      </w:r>
      <w:r w:rsidR="00464943" w:rsidRPr="009D7296">
        <w:t>Dans la suite de ce livret, une section est consacrée à chaque source d’énergie d’intérêt économique</w:t>
      </w:r>
      <w:r w:rsidR="005B58A1" w:rsidRPr="009D7296">
        <w:t xml:space="preserve">, en précisant </w:t>
      </w:r>
      <w:r w:rsidR="00B150EF" w:rsidRPr="009D7296">
        <w:t>la chaîne</w:t>
      </w:r>
      <w:r w:rsidR="005B58A1" w:rsidRPr="009D7296">
        <w:t xml:space="preserve"> de formes d’énergie dans laquelle elle s’inscrit</w:t>
      </w:r>
      <w:r w:rsidR="007C0070">
        <w:t xml:space="preserve"> (chap. II.2, p </w:t>
      </w:r>
      <w:r w:rsidR="007C0070" w:rsidRPr="007C0070">
        <w:rPr>
          <w:b/>
          <w:color w:val="FF0000"/>
        </w:rPr>
        <w:t>?</w:t>
      </w:r>
      <w:r w:rsidR="007C0070">
        <w:t>)</w:t>
      </w:r>
      <w:r w:rsidR="005B58A1" w:rsidRPr="009D7296">
        <w:t>.</w:t>
      </w:r>
    </w:p>
    <w:p w:rsidR="008C1A47" w:rsidRPr="00421E82" w:rsidRDefault="00A454F2" w:rsidP="00421E82">
      <w:pPr>
        <w:pStyle w:val="Doc-titre3"/>
      </w:pPr>
      <w:r>
        <w:rPr>
          <w:noProof/>
          <w:lang w:eastAsia="fr-FR" w:bidi="ar-SA"/>
        </w:rPr>
        <w:pict>
          <v:shape id="_x0000_s1394" type="#_x0000_t202" style="position:absolute;left:0;text-align:left;margin-left:-28.35pt;margin-top:13.3pt;width:27.7pt;height:44.85pt;z-index:-251277312;mso-position-horizontal-relative:margin" fillcolor="red" strokeweight="1pt">
            <v:fill color2="#ffc000" rotate="t" angle="-90" focus="100%" type="gradient"/>
            <o:lock v:ext="edit" aspectratio="t"/>
            <v:textbox style="mso-next-textbox:#_x0000_s1394">
              <w:txbxContent>
                <w:p w:rsidR="009811EF" w:rsidRPr="00DD2F9B" w:rsidRDefault="009811EF" w:rsidP="006F7BEF">
                  <w:pPr>
                    <w:jc w:val="center"/>
                    <w:rPr>
                      <w:rFonts w:ascii="Colonna MT" w:hAnsi="Colonna MT"/>
                      <w:b/>
                      <w:sz w:val="40"/>
                      <w:szCs w:val="40"/>
                    </w:rPr>
                  </w:pPr>
                  <w:r>
                    <w:rPr>
                      <w:rFonts w:ascii="Colonna MT" w:hAnsi="Colonna MT"/>
                      <w:b/>
                      <w:sz w:val="40"/>
                      <w:szCs w:val="40"/>
                    </w:rPr>
                    <w:t>A</w:t>
                  </w:r>
                </w:p>
              </w:txbxContent>
            </v:textbox>
            <w10:wrap anchorx="margin"/>
          </v:shape>
        </w:pict>
      </w:r>
      <w:bookmarkStart w:id="1" w:name="_Toc336593303"/>
      <w:r w:rsidR="008C1A47" w:rsidRPr="00421E82">
        <w:t>Barrière énergétique</w:t>
      </w:r>
      <w:bookmarkEnd w:id="1"/>
    </w:p>
    <w:p w:rsidR="00E23211" w:rsidRDefault="00C50165" w:rsidP="009D7296">
      <w:pPr>
        <w:pStyle w:val="Doc-corpsdetexte"/>
      </w:pPr>
      <w:r>
        <w:rPr>
          <w:noProof/>
          <w:lang w:eastAsia="fr-FR" w:bidi="ar-SA"/>
        </w:rPr>
        <w:drawing>
          <wp:anchor distT="0" distB="0" distL="114300" distR="114300" simplePos="0" relativeHeight="252142592" behindDoc="0" locked="0" layoutInCell="1" allowOverlap="1">
            <wp:simplePos x="0" y="0"/>
            <wp:positionH relativeFrom="column">
              <wp:posOffset>6214110</wp:posOffset>
            </wp:positionH>
            <wp:positionV relativeFrom="paragraph">
              <wp:posOffset>1009650</wp:posOffset>
            </wp:positionV>
            <wp:extent cx="3228975" cy="1733550"/>
            <wp:effectExtent l="0" t="0" r="0" b="0"/>
            <wp:wrapSquare wrapText="bothSides"/>
            <wp:docPr id="27" name="Image 23" descr="Barriè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ère.png"/>
                    <pic:cNvPicPr/>
                  </pic:nvPicPr>
                  <pic:blipFill>
                    <a:blip r:embed="rId9"/>
                    <a:stretch>
                      <a:fillRect/>
                    </a:stretch>
                  </pic:blipFill>
                  <pic:spPr>
                    <a:xfrm>
                      <a:off x="0" y="0"/>
                      <a:ext cx="3228975" cy="1733550"/>
                    </a:xfrm>
                    <a:prstGeom prst="rect">
                      <a:avLst/>
                    </a:prstGeom>
                  </pic:spPr>
                </pic:pic>
              </a:graphicData>
            </a:graphic>
          </wp:anchor>
        </w:drawing>
      </w:r>
      <w:r w:rsidR="007E504D" w:rsidRPr="009D7296">
        <w:t>Un système tend toujours à mi</w:t>
      </w:r>
      <w:r w:rsidR="001E24FA">
        <w:t>nimiser son énergie potentielle</w:t>
      </w:r>
      <w:r w:rsidR="003979C8" w:rsidRPr="009D7296">
        <w:t xml:space="preserve"> en la </w:t>
      </w:r>
      <w:r w:rsidR="00E23211">
        <w:t>dissipant sous une autre forme. Le système passe d’un état initial à un état final d’énergie potentielle inférieure. Si rien ne l’en empêche, la transformation se fait spontanément</w:t>
      </w:r>
      <w:r w:rsidR="001E24FA">
        <w:t xml:space="preserve">. </w:t>
      </w:r>
      <w:r w:rsidR="00E23211">
        <w:t xml:space="preserve">Mais un système peut avoir besoin </w:t>
      </w:r>
      <w:r w:rsidR="00A32F85">
        <w:t xml:space="preserve">de passer par un état intermédiaire d’énergie potentielle plus élevée par </w:t>
      </w:r>
      <w:r w:rsidR="00E23211">
        <w:t>un apport énergétique</w:t>
      </w:r>
      <w:r w:rsidR="00A32F85">
        <w:t xml:space="preserve">. </w:t>
      </w:r>
      <w:r w:rsidR="00E23211">
        <w:t xml:space="preserve">Cette différence entre son état initial et l’état </w:t>
      </w:r>
      <w:r w:rsidR="00A32F85">
        <w:t>intermédiaire</w:t>
      </w:r>
      <w:r w:rsidR="00E23211">
        <w:t xml:space="preserve"> représente la barrière énergétique. Une fois cette barrière franchie, le système va dissiper son énergie</w:t>
      </w:r>
      <w:r w:rsidR="001E24FA">
        <w:t xml:space="preserve"> potentielle, et atteindre </w:t>
      </w:r>
      <w:r w:rsidR="00A32F85">
        <w:t>l’état final, dans lequel l’énergie potentielle est moindre que celle de l’état initial</w:t>
      </w:r>
      <w:r w:rsidR="00E23211">
        <w:t>.</w:t>
      </w:r>
      <w:r w:rsidR="00272357">
        <w:t xml:space="preserve"> Par exemple : une </w:t>
      </w:r>
      <w:r w:rsidR="001E24FA">
        <w:t>bille placée à une certaine hauteur possède une énergie potentielle de gravitation</w:t>
      </w:r>
      <w:r w:rsidR="00BA40FC">
        <w:t xml:space="preserve"> (état initial).</w:t>
      </w:r>
      <w:r w:rsidR="001E24FA">
        <w:t xml:space="preserve"> Cette énergie de gravitation est d’autant plus basse que la bille est près du </w:t>
      </w:r>
      <w:r w:rsidR="00EC6F54">
        <w:t>centre de la Terre</w:t>
      </w:r>
      <w:r w:rsidR="001E24FA">
        <w:t xml:space="preserve">. Donc spontanément, la bille tombe, transformant son énergie potentielle en énergie cinétique. Si maintenant cette bille est dans un creux (état initial), elle a besoin d’énergie pour monter au bord du creux (apport énergétique). De là, elle peut ensuite tomber plus bas et donc atteindre un état d’énergie potentielle moindre (état final). </w:t>
      </w:r>
      <w:r w:rsidR="001E24FA" w:rsidRPr="00314E74">
        <w:t>De manière analogue, des atomes liés dans des molécules stables peuvent être dissociés par un apport énergétique. Les atomes peuvent alors former de</w:t>
      </w:r>
      <w:r w:rsidR="00EC6F54">
        <w:t xml:space="preserve"> nouvelles</w:t>
      </w:r>
      <w:r w:rsidR="001E24FA" w:rsidRPr="00314E74">
        <w:t xml:space="preserve"> molécules d’énergie potentielle chimique moindre.</w:t>
      </w:r>
    </w:p>
    <w:p w:rsidR="008C1A47" w:rsidRDefault="008C1A47" w:rsidP="00421E82">
      <w:pPr>
        <w:pStyle w:val="Doc-titre3"/>
      </w:pPr>
      <w:bookmarkStart w:id="2" w:name="_Toc336593304"/>
      <w:r>
        <w:lastRenderedPageBreak/>
        <w:t>Energie et masse</w:t>
      </w:r>
      <w:bookmarkEnd w:id="2"/>
    </w:p>
    <w:p w:rsidR="00314E74" w:rsidRPr="00314E74" w:rsidRDefault="00C0342D" w:rsidP="009D7296">
      <w:pPr>
        <w:pStyle w:val="Doc-corpsdetexte"/>
      </w:pPr>
      <w:r w:rsidRPr="009D7296">
        <w:t>Dans la physique classique, la loi de conservation de l’</w:t>
      </w:r>
      <w:r w:rsidR="00B167AA" w:rsidRPr="009D7296">
        <w:t>éne</w:t>
      </w:r>
      <w:r w:rsidRPr="009D7296">
        <w:t>rgie est complétée par une loi analogue : la loi de conservation de la masse.</w:t>
      </w:r>
      <w:r w:rsidR="00B167AA" w:rsidRPr="009D7296">
        <w:t xml:space="preserve"> L</w:t>
      </w:r>
      <w:r w:rsidR="004A6438">
        <w:t>a</w:t>
      </w:r>
      <w:r w:rsidR="00B167AA" w:rsidRPr="009D7296">
        <w:t xml:space="preserve"> </w:t>
      </w:r>
      <w:r w:rsidR="001C2531" w:rsidRPr="009D7296">
        <w:t>célèbre</w:t>
      </w:r>
      <w:r w:rsidR="004A6438">
        <w:t xml:space="preserve"> phrase de</w:t>
      </w:r>
      <w:r w:rsidR="00B167AA" w:rsidRPr="009D7296">
        <w:t xml:space="preserve"> Lavoisier</w:t>
      </w:r>
      <w:r w:rsidR="004A6438">
        <w:t> : « </w:t>
      </w:r>
      <w:r w:rsidR="004A6438">
        <w:rPr>
          <w:rStyle w:val="citation"/>
        </w:rPr>
        <w:t>Rien ne se perd, rien ne se crée, tout se transforme »</w:t>
      </w:r>
      <w:r w:rsidR="00B167AA" w:rsidRPr="009D7296">
        <w:t xml:space="preserve"> s’</w:t>
      </w:r>
      <w:r w:rsidR="001C2531" w:rsidRPr="009D7296">
        <w:t>applique</w:t>
      </w:r>
      <w:r w:rsidR="00B167AA" w:rsidRPr="009D7296">
        <w:t xml:space="preserve"> </w:t>
      </w:r>
      <w:r w:rsidR="00B167AA" w:rsidRPr="00314E74">
        <w:t>aussi bien à l’énergie qu’à la matière. Pourtant, la</w:t>
      </w:r>
      <w:r w:rsidR="004908FF" w:rsidRPr="00314E74">
        <w:t xml:space="preserve"> théorie de la relativité nous enseigne </w:t>
      </w:r>
      <w:r w:rsidR="004A6438">
        <w:t xml:space="preserve">que </w:t>
      </w:r>
      <w:r w:rsidR="00B167AA" w:rsidRPr="00314E74">
        <w:t>la masse est une</w:t>
      </w:r>
      <w:r w:rsidR="004908FF" w:rsidRPr="00314E74">
        <w:t xml:space="preserve"> forme particulière d’énergie potentielle</w:t>
      </w:r>
      <w:r w:rsidR="00B167AA" w:rsidRPr="00314E74">
        <w:t xml:space="preserve">, qui peut se transformée </w:t>
      </w:r>
      <w:r w:rsidR="004908FF" w:rsidRPr="00314E74">
        <w:t>en d’autres formes d’énergie, selon l</w:t>
      </w:r>
      <w:r w:rsidR="00B167AA" w:rsidRPr="00314E74">
        <w:t>’</w:t>
      </w:r>
      <w:r w:rsidR="004908FF" w:rsidRPr="00314E74">
        <w:t xml:space="preserve">équation </w:t>
      </w:r>
      <w:r w:rsidR="004A6438">
        <w:t xml:space="preserve">d’Einstein : </w:t>
      </w:r>
      <w:r w:rsidR="004908FF" w:rsidRPr="00314E74">
        <w:t>E=mc²(</w:t>
      </w:r>
      <w:r w:rsidR="004A6438">
        <w:t>E : énergie, m : masse, c : célérité</w:t>
      </w:r>
      <w:r w:rsidR="004908FF" w:rsidRPr="00314E74">
        <w:t xml:space="preserve">). </w:t>
      </w:r>
      <w:r w:rsidR="00B167AA" w:rsidRPr="00314E74">
        <w:t xml:space="preserve">Toutefois, cette </w:t>
      </w:r>
      <w:r w:rsidR="001C2531" w:rsidRPr="00314E74">
        <w:t>transformation</w:t>
      </w:r>
      <w:r w:rsidR="004908FF" w:rsidRPr="00314E74">
        <w:t xml:space="preserve"> ne se manifeste</w:t>
      </w:r>
      <w:r w:rsidRPr="00314E74">
        <w:t xml:space="preserve"> que dans </w:t>
      </w:r>
      <w:r w:rsidR="00B167AA" w:rsidRPr="00314E74">
        <w:t>des c</w:t>
      </w:r>
      <w:r w:rsidR="00F04267" w:rsidRPr="00314E74">
        <w:t>irconstances très particulières,</w:t>
      </w:r>
      <w:r w:rsidR="00B167AA" w:rsidRPr="00314E74">
        <w:t xml:space="preserve"> essentiellement </w:t>
      </w:r>
      <w:r w:rsidR="004908FF" w:rsidRPr="00314E74">
        <w:t>les réactions nucléaires</w:t>
      </w:r>
      <w:r w:rsidR="00DB443C">
        <w:t>, qu’elles se produisent sur T</w:t>
      </w:r>
      <w:r w:rsidR="00F04267" w:rsidRPr="00314E74">
        <w:t>erre ou au cœur du Soleil</w:t>
      </w:r>
      <w:r w:rsidRPr="00314E74">
        <w:t>.</w:t>
      </w:r>
      <w:r w:rsidR="00794453" w:rsidRPr="00314E74">
        <w:t xml:space="preserve"> Elle joue </w:t>
      </w:r>
      <w:r w:rsidR="00F04267" w:rsidRPr="00314E74">
        <w:t>de ce fait</w:t>
      </w:r>
      <w:r w:rsidR="00794453" w:rsidRPr="00314E74">
        <w:t xml:space="preserve"> un rôle capital pour nous, puisqu’elle </w:t>
      </w:r>
      <w:r w:rsidR="00F147E6" w:rsidRPr="00314E74">
        <w:t xml:space="preserve">alimente, directement ou </w:t>
      </w:r>
      <w:r w:rsidR="001C2531" w:rsidRPr="00314E74">
        <w:t>indirectement</w:t>
      </w:r>
      <w:r w:rsidR="00F147E6" w:rsidRPr="00314E74">
        <w:t xml:space="preserve">, </w:t>
      </w:r>
      <w:r w:rsidR="00F04267" w:rsidRPr="00314E74">
        <w:t xml:space="preserve">toutes </w:t>
      </w:r>
      <w:r w:rsidR="00794453" w:rsidRPr="00314E74">
        <w:t xml:space="preserve">les </w:t>
      </w:r>
      <w:r w:rsidR="00F147E6" w:rsidRPr="00314E74">
        <w:t>sources</w:t>
      </w:r>
      <w:r w:rsidR="00794453" w:rsidRPr="00314E74">
        <w:t xml:space="preserve"> d’énergie que nous </w:t>
      </w:r>
      <w:r w:rsidR="00F04267" w:rsidRPr="00314E74">
        <w:t xml:space="preserve">utilisons. C’est pourquoi les chaînes de transformation énergétiques figurant au chapitre « source d’énergies » </w:t>
      </w:r>
      <w:r w:rsidR="001C2531" w:rsidRPr="00314E74">
        <w:t>débutent</w:t>
      </w:r>
      <w:r w:rsidR="00F04267" w:rsidRPr="00314E74">
        <w:t xml:space="preserve"> toutes par l’énergie </w:t>
      </w:r>
      <w:r w:rsidR="001C2531" w:rsidRPr="00314E74">
        <w:t>nucléaire</w:t>
      </w:r>
      <w:r w:rsidR="00F04267" w:rsidRPr="00314E74">
        <w:t xml:space="preserve">. Seule exception : l’énergie marémotrice, qui provient de la </w:t>
      </w:r>
      <w:r w:rsidR="00652004" w:rsidRPr="00314E74">
        <w:t>g</w:t>
      </w:r>
      <w:r w:rsidR="00F04267" w:rsidRPr="00314E74">
        <w:t xml:space="preserve">ravitation. </w:t>
      </w:r>
    </w:p>
    <w:p w:rsidR="00314E74" w:rsidRDefault="00A454F2" w:rsidP="00421E82">
      <w:pPr>
        <w:pStyle w:val="Doc-titre3"/>
      </w:pPr>
      <w:r>
        <w:rPr>
          <w:noProof/>
          <w:lang w:eastAsia="fr-FR" w:bidi="ar-SA"/>
        </w:rPr>
        <w:pict>
          <v:shape id="_x0000_s1395" type="#_x0000_t202" style="position:absolute;left:0;text-align:left;margin-left:-28.35pt;margin-top:6.85pt;width:27.7pt;height:44.85pt;z-index:-251276288;mso-position-horizontal-relative:margin" fillcolor="#943634 [2405]" strokeweight="1pt">
            <v:fill color2="#d6e3bc [1302]" rotate="t" angle="-90" focus="100%" type="gradient"/>
            <o:lock v:ext="edit" aspectratio="t"/>
            <v:textbox style="mso-next-textbox:#_x0000_s1395">
              <w:txbxContent>
                <w:p w:rsidR="009811EF" w:rsidRPr="00DD2F9B" w:rsidRDefault="009811EF" w:rsidP="007C7914">
                  <w:pPr>
                    <w:jc w:val="center"/>
                    <w:rPr>
                      <w:rFonts w:ascii="Colonna MT" w:hAnsi="Colonna MT"/>
                      <w:b/>
                      <w:sz w:val="40"/>
                      <w:szCs w:val="40"/>
                    </w:rPr>
                  </w:pPr>
                  <w:r>
                    <w:rPr>
                      <w:rFonts w:ascii="Colonna MT" w:hAnsi="Colonna MT"/>
                      <w:b/>
                      <w:sz w:val="40"/>
                      <w:szCs w:val="40"/>
                    </w:rPr>
                    <w:t>J</w:t>
                  </w:r>
                </w:p>
              </w:txbxContent>
            </v:textbox>
            <w10:wrap anchorx="margin"/>
          </v:shape>
        </w:pict>
      </w:r>
      <w:bookmarkStart w:id="3" w:name="_Toc336593305"/>
      <w:r w:rsidR="00314E74">
        <w:t>Unité</w:t>
      </w:r>
      <w:r w:rsidR="008C1A47">
        <w:t>s</w:t>
      </w:r>
      <w:r w:rsidR="00314E74">
        <w:t xml:space="preserve"> de mesure</w:t>
      </w:r>
      <w:bookmarkEnd w:id="3"/>
    </w:p>
    <w:p w:rsidR="00C57FB0" w:rsidRPr="00314E74" w:rsidRDefault="0027795E" w:rsidP="009D7296">
      <w:pPr>
        <w:pStyle w:val="Doc-corpsdetexte"/>
      </w:pPr>
      <w:r w:rsidRPr="00314E74">
        <w:t>L’énergie s’exprime en joules</w:t>
      </w:r>
      <w:r w:rsidR="00CE7655" w:rsidRPr="00314E74">
        <w:t xml:space="preserve"> (J)</w:t>
      </w:r>
      <w:r w:rsidRPr="00314E74">
        <w:t xml:space="preserve"> da</w:t>
      </w:r>
      <w:r w:rsidR="00314E74">
        <w:t>ns le système international d’</w:t>
      </w:r>
      <w:r w:rsidR="00A661E0">
        <w:t xml:space="preserve">unités. </w:t>
      </w:r>
      <w:r w:rsidR="007C7914">
        <w:t>Certains</w:t>
      </w:r>
      <w:r w:rsidRPr="00314E74">
        <w:t xml:space="preserve"> </w:t>
      </w:r>
      <w:r w:rsidR="00314E74">
        <w:t>domaines utilisent traditionnellement d’autres</w:t>
      </w:r>
      <w:r w:rsidRPr="00314E74">
        <w:t xml:space="preserve"> unité</w:t>
      </w:r>
      <w:r w:rsidR="00314E74">
        <w:t>s.</w:t>
      </w:r>
      <w:r w:rsidRPr="00314E74">
        <w:t xml:space="preserve"> </w:t>
      </w:r>
    </w:p>
    <w:tbl>
      <w:tblPr>
        <w:tblStyle w:val="Grilledutableau"/>
        <w:tblW w:w="15309" w:type="dxa"/>
        <w:tblInd w:w="-459" w:type="dxa"/>
        <w:tblLook w:val="04A0"/>
      </w:tblPr>
      <w:tblGrid>
        <w:gridCol w:w="3544"/>
        <w:gridCol w:w="3260"/>
        <w:gridCol w:w="5812"/>
        <w:gridCol w:w="2693"/>
      </w:tblGrid>
      <w:tr w:rsidR="00F84F37" w:rsidRPr="00575254" w:rsidTr="00DC02AF">
        <w:tc>
          <w:tcPr>
            <w:tcW w:w="3544" w:type="dxa"/>
            <w:vAlign w:val="center"/>
          </w:tcPr>
          <w:p w:rsidR="00F84F37" w:rsidRPr="00575254" w:rsidRDefault="00F84F37" w:rsidP="00F84F37">
            <w:pPr>
              <w:pStyle w:val="Doc-corpsdetexte"/>
              <w:spacing w:after="0"/>
              <w:ind w:firstLine="0"/>
              <w:jc w:val="left"/>
              <w:rPr>
                <w:b/>
              </w:rPr>
            </w:pPr>
            <w:r w:rsidRPr="00575254">
              <w:rPr>
                <w:b/>
              </w:rPr>
              <w:t>Domaine</w:t>
            </w:r>
          </w:p>
        </w:tc>
        <w:tc>
          <w:tcPr>
            <w:tcW w:w="3260" w:type="dxa"/>
            <w:vAlign w:val="center"/>
          </w:tcPr>
          <w:p w:rsidR="00F84F37" w:rsidRPr="00F84F37" w:rsidRDefault="00F84F37" w:rsidP="00F84F37">
            <w:pPr>
              <w:pStyle w:val="Doc-corpsdetexte"/>
              <w:spacing w:after="0"/>
              <w:ind w:firstLine="0"/>
              <w:jc w:val="left"/>
              <w:rPr>
                <w:b/>
              </w:rPr>
            </w:pPr>
            <w:r w:rsidRPr="00575254">
              <w:rPr>
                <w:b/>
              </w:rPr>
              <w:t>Unité usitée</w:t>
            </w:r>
          </w:p>
        </w:tc>
        <w:tc>
          <w:tcPr>
            <w:tcW w:w="5812" w:type="dxa"/>
            <w:vAlign w:val="center"/>
          </w:tcPr>
          <w:p w:rsidR="00F84F37" w:rsidRPr="00575254" w:rsidRDefault="00F84F37" w:rsidP="00F84F37">
            <w:pPr>
              <w:pStyle w:val="Doc-corpsdetexte"/>
              <w:spacing w:after="0"/>
              <w:ind w:firstLine="0"/>
              <w:jc w:val="left"/>
              <w:rPr>
                <w:b/>
              </w:rPr>
            </w:pPr>
            <w:r>
              <w:rPr>
                <w:b/>
              </w:rPr>
              <w:t>Définition</w:t>
            </w:r>
          </w:p>
        </w:tc>
        <w:tc>
          <w:tcPr>
            <w:tcW w:w="2693" w:type="dxa"/>
            <w:vAlign w:val="center"/>
          </w:tcPr>
          <w:p w:rsidR="00F84F37" w:rsidRPr="00575254" w:rsidRDefault="00F84F37" w:rsidP="00F84F37">
            <w:pPr>
              <w:pStyle w:val="Doc-corpsdetexte"/>
              <w:spacing w:after="0"/>
              <w:ind w:firstLine="0"/>
              <w:jc w:val="left"/>
              <w:rPr>
                <w:b/>
              </w:rPr>
            </w:pPr>
            <w:r w:rsidRPr="00575254">
              <w:rPr>
                <w:b/>
              </w:rPr>
              <w:t>Equivalence</w:t>
            </w:r>
          </w:p>
        </w:tc>
      </w:tr>
      <w:tr w:rsidR="00F84F37" w:rsidTr="00DC02AF">
        <w:tc>
          <w:tcPr>
            <w:tcW w:w="3544" w:type="dxa"/>
            <w:vAlign w:val="center"/>
          </w:tcPr>
          <w:p w:rsidR="00F84F37" w:rsidRDefault="00F84F37" w:rsidP="00F84F37">
            <w:pPr>
              <w:pStyle w:val="Doc-corpsdetexte"/>
              <w:spacing w:after="0"/>
              <w:ind w:firstLine="0"/>
              <w:jc w:val="left"/>
            </w:pPr>
            <w:r>
              <w:t>Biochimie</w:t>
            </w:r>
          </w:p>
        </w:tc>
        <w:tc>
          <w:tcPr>
            <w:tcW w:w="3260" w:type="dxa"/>
            <w:vAlign w:val="center"/>
          </w:tcPr>
          <w:p w:rsidR="00F84F37" w:rsidRDefault="00F84F37" w:rsidP="00F84F37">
            <w:pPr>
              <w:pStyle w:val="Doc-corpsdetexte"/>
              <w:spacing w:after="0"/>
              <w:ind w:firstLine="0"/>
              <w:jc w:val="left"/>
            </w:pPr>
            <w:r>
              <w:t>Calorie (cal)</w:t>
            </w:r>
          </w:p>
        </w:tc>
        <w:tc>
          <w:tcPr>
            <w:tcW w:w="5812" w:type="dxa"/>
            <w:vAlign w:val="center"/>
          </w:tcPr>
          <w:p w:rsidR="00F84F37" w:rsidRDefault="00DC02AF" w:rsidP="00FB0C95">
            <w:pPr>
              <w:pStyle w:val="Doc-corpsdetexte"/>
              <w:spacing w:after="0"/>
              <w:ind w:firstLine="0"/>
              <w:jc w:val="left"/>
            </w:pPr>
            <w:r>
              <w:t xml:space="preserve">Quantité de chaleur pour élever 1 g d’eau </w:t>
            </w:r>
            <w:r w:rsidR="00FB0C95">
              <w:t>dégazée de 19,5</w:t>
            </w:r>
            <w:r>
              <w:t> °C</w:t>
            </w:r>
            <w:r w:rsidR="00FB0C95">
              <w:t xml:space="preserve"> à 20,5 °C</w:t>
            </w:r>
          </w:p>
        </w:tc>
        <w:tc>
          <w:tcPr>
            <w:tcW w:w="2693" w:type="dxa"/>
            <w:vAlign w:val="center"/>
          </w:tcPr>
          <w:p w:rsidR="00F84F37" w:rsidRDefault="00F84F37" w:rsidP="00DC02AF">
            <w:pPr>
              <w:pStyle w:val="Doc-corpsdetexte"/>
              <w:spacing w:after="0"/>
              <w:ind w:firstLine="0"/>
              <w:jc w:val="right"/>
            </w:pPr>
            <w:r>
              <w:t>1cal = 4,18 J</w:t>
            </w:r>
          </w:p>
        </w:tc>
      </w:tr>
      <w:tr w:rsidR="00F84F37" w:rsidTr="00DC02AF">
        <w:tc>
          <w:tcPr>
            <w:tcW w:w="3544" w:type="dxa"/>
            <w:vAlign w:val="center"/>
          </w:tcPr>
          <w:p w:rsidR="00F84F37" w:rsidRDefault="00F84F37" w:rsidP="00F84F37">
            <w:pPr>
              <w:pStyle w:val="Doc-corpsdetexte"/>
              <w:spacing w:after="0"/>
              <w:ind w:firstLine="0"/>
              <w:jc w:val="left"/>
            </w:pPr>
            <w:r>
              <w:t>Echelle atomique et subatomique</w:t>
            </w:r>
          </w:p>
        </w:tc>
        <w:tc>
          <w:tcPr>
            <w:tcW w:w="3260" w:type="dxa"/>
            <w:vAlign w:val="center"/>
          </w:tcPr>
          <w:p w:rsidR="00F84F37" w:rsidRDefault="00F84F37" w:rsidP="00F84F37">
            <w:pPr>
              <w:pStyle w:val="Doc-corpsdetexte"/>
              <w:spacing w:after="0"/>
              <w:ind w:firstLine="0"/>
              <w:jc w:val="left"/>
            </w:pPr>
            <w:r>
              <w:t>Electronvolt (eV)</w:t>
            </w:r>
          </w:p>
        </w:tc>
        <w:tc>
          <w:tcPr>
            <w:tcW w:w="5812" w:type="dxa"/>
            <w:vAlign w:val="center"/>
          </w:tcPr>
          <w:p w:rsidR="00F84F37" w:rsidRDefault="00DC02AF" w:rsidP="00F84F37">
            <w:pPr>
              <w:pStyle w:val="Doc-corpsdetexte"/>
              <w:spacing w:after="0"/>
              <w:ind w:firstLine="0"/>
              <w:jc w:val="left"/>
            </w:pPr>
            <w:r>
              <w:t>Energie acquise par un électron au repos accéléré par une différence de potentiel de 1 volt</w:t>
            </w:r>
          </w:p>
        </w:tc>
        <w:tc>
          <w:tcPr>
            <w:tcW w:w="2693" w:type="dxa"/>
            <w:vAlign w:val="center"/>
          </w:tcPr>
          <w:p w:rsidR="00F84F37" w:rsidRDefault="00F84F37" w:rsidP="00DC02AF">
            <w:pPr>
              <w:pStyle w:val="Doc-corpsdetexte"/>
              <w:spacing w:after="0"/>
              <w:ind w:firstLine="0"/>
              <w:jc w:val="right"/>
            </w:pPr>
            <w:r>
              <w:t xml:space="preserve">1eV = </w:t>
            </w:r>
            <w:r>
              <w:rPr>
                <w:rStyle w:val="nowrap"/>
              </w:rPr>
              <w:t>1,60217653×10</w:t>
            </w:r>
            <w:r>
              <w:rPr>
                <w:rStyle w:val="nowrap"/>
                <w:vertAlign w:val="superscript"/>
              </w:rPr>
              <w:t>-19</w:t>
            </w:r>
            <w:r>
              <w:rPr>
                <w:rStyle w:val="nowrap"/>
              </w:rPr>
              <w:t> J</w:t>
            </w:r>
          </w:p>
        </w:tc>
      </w:tr>
      <w:tr w:rsidR="00F84F37" w:rsidTr="00DC02AF">
        <w:tc>
          <w:tcPr>
            <w:tcW w:w="3544" w:type="dxa"/>
            <w:vAlign w:val="center"/>
          </w:tcPr>
          <w:p w:rsidR="00F84F37" w:rsidRDefault="00F84F37" w:rsidP="00F84F37">
            <w:pPr>
              <w:pStyle w:val="Doc-corpsdetexte"/>
              <w:spacing w:after="0"/>
              <w:ind w:firstLine="0"/>
              <w:jc w:val="left"/>
            </w:pPr>
            <w:r>
              <w:t>Energie industrielle</w:t>
            </w:r>
          </w:p>
        </w:tc>
        <w:tc>
          <w:tcPr>
            <w:tcW w:w="3260" w:type="dxa"/>
            <w:vAlign w:val="center"/>
          </w:tcPr>
          <w:p w:rsidR="00F84F37" w:rsidRDefault="00F84F37" w:rsidP="00F84F37">
            <w:pPr>
              <w:pStyle w:val="Doc-corpsdetexte"/>
              <w:spacing w:after="0"/>
              <w:ind w:firstLine="0"/>
              <w:jc w:val="left"/>
            </w:pPr>
            <w:r>
              <w:t>Tonne équivalent pétrole (tep)</w:t>
            </w:r>
          </w:p>
        </w:tc>
        <w:tc>
          <w:tcPr>
            <w:tcW w:w="5812" w:type="dxa"/>
            <w:vAlign w:val="center"/>
          </w:tcPr>
          <w:p w:rsidR="00F84F37" w:rsidRDefault="00DC02AF" w:rsidP="006379B1">
            <w:pPr>
              <w:pStyle w:val="Doc-corpsdetexte"/>
              <w:spacing w:after="0"/>
              <w:ind w:firstLine="0"/>
              <w:jc w:val="left"/>
            </w:pPr>
            <w:r>
              <w:t>Energie produite par la combustion d’1 tonne de pétrole</w:t>
            </w:r>
            <w:r w:rsidR="00FB0C95">
              <w:t xml:space="preserve"> </w:t>
            </w:r>
            <w:r w:rsidR="00696529">
              <w:t>« moyenne »</w:t>
            </w:r>
            <w:r w:rsidR="00FB0C95">
              <w:t xml:space="preserve"> </w:t>
            </w:r>
          </w:p>
        </w:tc>
        <w:tc>
          <w:tcPr>
            <w:tcW w:w="2693" w:type="dxa"/>
            <w:vAlign w:val="center"/>
          </w:tcPr>
          <w:p w:rsidR="00F84F37" w:rsidRPr="00EE4828" w:rsidRDefault="00F84F37" w:rsidP="00DC02AF">
            <w:pPr>
              <w:pStyle w:val="Doc-corpsdetexte"/>
              <w:spacing w:after="0"/>
              <w:ind w:firstLine="0"/>
              <w:jc w:val="right"/>
            </w:pPr>
            <w:r w:rsidRPr="00EE4828">
              <w:t>1 tep</w:t>
            </w:r>
            <w:r>
              <w:t xml:space="preserve"> = </w:t>
            </w:r>
            <w:r w:rsidRPr="00EE4828">
              <w:t xml:space="preserve"> </w:t>
            </w:r>
            <w:r w:rsidRPr="00EE4828">
              <w:rPr>
                <w:lang w:val="en-US"/>
              </w:rPr>
              <w:t>42.10</w:t>
            </w:r>
            <w:r w:rsidRPr="00EE4828">
              <w:rPr>
                <w:vertAlign w:val="superscript"/>
                <w:lang w:val="en-US"/>
              </w:rPr>
              <w:t>9</w:t>
            </w:r>
            <w:r>
              <w:rPr>
                <w:lang w:val="en-US"/>
              </w:rPr>
              <w:t> </w:t>
            </w:r>
            <w:r w:rsidRPr="00EE4828">
              <w:rPr>
                <w:lang w:val="en-US"/>
              </w:rPr>
              <w:t>J</w:t>
            </w:r>
          </w:p>
        </w:tc>
      </w:tr>
      <w:tr w:rsidR="00F84F37" w:rsidTr="00DC02AF">
        <w:tc>
          <w:tcPr>
            <w:tcW w:w="3544" w:type="dxa"/>
            <w:vAlign w:val="center"/>
          </w:tcPr>
          <w:p w:rsidR="00F84F37" w:rsidRDefault="00F84F37" w:rsidP="00F84F37">
            <w:pPr>
              <w:pStyle w:val="Doc-corpsdetexte"/>
              <w:spacing w:after="0"/>
              <w:ind w:firstLine="0"/>
              <w:jc w:val="left"/>
            </w:pPr>
            <w:r>
              <w:t xml:space="preserve">Consommation électrique </w:t>
            </w:r>
          </w:p>
        </w:tc>
        <w:tc>
          <w:tcPr>
            <w:tcW w:w="3260" w:type="dxa"/>
            <w:vAlign w:val="center"/>
          </w:tcPr>
          <w:p w:rsidR="00F84F37" w:rsidRDefault="00F84F37" w:rsidP="00F84F37">
            <w:pPr>
              <w:pStyle w:val="Doc-corpsdetexte"/>
              <w:spacing w:after="0"/>
              <w:ind w:firstLine="0"/>
              <w:jc w:val="left"/>
            </w:pPr>
            <w:r>
              <w:t>Kilowattheure (kWh)</w:t>
            </w:r>
          </w:p>
        </w:tc>
        <w:tc>
          <w:tcPr>
            <w:tcW w:w="5812" w:type="dxa"/>
            <w:vAlign w:val="center"/>
          </w:tcPr>
          <w:p w:rsidR="00F84F37" w:rsidRDefault="00B07679" w:rsidP="00F84F37">
            <w:pPr>
              <w:pStyle w:val="Doc-corpsdetexte"/>
              <w:spacing w:after="0"/>
              <w:ind w:firstLine="0"/>
              <w:jc w:val="left"/>
            </w:pPr>
            <w:r>
              <w:t>Energie consommée par un appareil de 1 kW de puissance pendant 1 heure</w:t>
            </w:r>
          </w:p>
        </w:tc>
        <w:tc>
          <w:tcPr>
            <w:tcW w:w="2693" w:type="dxa"/>
            <w:vAlign w:val="center"/>
          </w:tcPr>
          <w:p w:rsidR="00F84F37" w:rsidRPr="00BB3698" w:rsidRDefault="00F84F37" w:rsidP="00DC02AF">
            <w:pPr>
              <w:pStyle w:val="Doc-corpsdetexte"/>
              <w:spacing w:after="0"/>
              <w:ind w:firstLine="0"/>
              <w:jc w:val="right"/>
              <w:rPr>
                <w:lang w:val="en-US"/>
              </w:rPr>
            </w:pPr>
            <w:r>
              <w:rPr>
                <w:lang w:val="en-US"/>
              </w:rPr>
              <w:t>1</w:t>
            </w:r>
            <w:r w:rsidR="00E813E3">
              <w:rPr>
                <w:lang w:val="en-US"/>
              </w:rPr>
              <w:t> </w:t>
            </w:r>
            <w:r>
              <w:rPr>
                <w:lang w:val="en-US"/>
              </w:rPr>
              <w:t xml:space="preserve">kWh = </w:t>
            </w:r>
            <w:r w:rsidRPr="00EE4828">
              <w:rPr>
                <w:lang w:val="en-US"/>
              </w:rPr>
              <w:t>3,6.10</w:t>
            </w:r>
            <w:r w:rsidRPr="00EE4828">
              <w:rPr>
                <w:vertAlign w:val="superscript"/>
                <w:lang w:val="en-US"/>
              </w:rPr>
              <w:t>6</w:t>
            </w:r>
            <w:r>
              <w:rPr>
                <w:lang w:val="en-US"/>
              </w:rPr>
              <w:t> </w:t>
            </w:r>
            <w:r w:rsidRPr="00EE4828">
              <w:rPr>
                <w:lang w:val="en-US"/>
              </w:rPr>
              <w:t>J</w:t>
            </w:r>
          </w:p>
        </w:tc>
      </w:tr>
      <w:tr w:rsidR="00F84F37" w:rsidTr="00DC02AF">
        <w:tc>
          <w:tcPr>
            <w:tcW w:w="3544" w:type="dxa"/>
            <w:vAlign w:val="center"/>
          </w:tcPr>
          <w:p w:rsidR="00F84F37" w:rsidRDefault="00F84F37" w:rsidP="00F84F37">
            <w:pPr>
              <w:pStyle w:val="Doc-corpsdetexte"/>
              <w:spacing w:after="0"/>
              <w:ind w:firstLine="0"/>
              <w:jc w:val="left"/>
            </w:pPr>
            <w:r>
              <w:t>Armement nucléaire</w:t>
            </w:r>
          </w:p>
        </w:tc>
        <w:tc>
          <w:tcPr>
            <w:tcW w:w="3260" w:type="dxa"/>
            <w:vAlign w:val="center"/>
          </w:tcPr>
          <w:p w:rsidR="00F84F37" w:rsidRDefault="00F84F37" w:rsidP="00F84F37">
            <w:pPr>
              <w:pStyle w:val="Doc-corpsdetexte"/>
              <w:spacing w:after="0"/>
              <w:ind w:firstLine="0"/>
              <w:jc w:val="left"/>
            </w:pPr>
            <w:r>
              <w:t>Mégatonne</w:t>
            </w:r>
            <w:r w:rsidR="00E813E3">
              <w:t xml:space="preserve"> (Mt)</w:t>
            </w:r>
          </w:p>
        </w:tc>
        <w:tc>
          <w:tcPr>
            <w:tcW w:w="5812" w:type="dxa"/>
            <w:vAlign w:val="center"/>
          </w:tcPr>
          <w:p w:rsidR="00F84F37" w:rsidRDefault="004163C0" w:rsidP="00F84F37">
            <w:pPr>
              <w:pStyle w:val="Doc-corpsdetexte"/>
              <w:spacing w:after="0"/>
              <w:ind w:firstLine="0"/>
              <w:jc w:val="left"/>
            </w:pPr>
            <w:r>
              <w:t>Energie produite par la combustion d’un million de tonne de trinitrotoluène (TNT)</w:t>
            </w:r>
          </w:p>
        </w:tc>
        <w:tc>
          <w:tcPr>
            <w:tcW w:w="2693" w:type="dxa"/>
            <w:vAlign w:val="center"/>
          </w:tcPr>
          <w:p w:rsidR="00F84F37" w:rsidRPr="00E813E3" w:rsidRDefault="00E813E3" w:rsidP="00DC02AF">
            <w:pPr>
              <w:pStyle w:val="Doc-corpsdetexte"/>
              <w:spacing w:after="0"/>
              <w:ind w:firstLine="0"/>
              <w:jc w:val="right"/>
            </w:pPr>
            <w:r w:rsidRPr="00E813E3">
              <w:t>1Mt = 4,184.</w:t>
            </w:r>
            <w:r>
              <w:t>10</w:t>
            </w:r>
            <w:r w:rsidRPr="00E813E3">
              <w:rPr>
                <w:vertAlign w:val="superscript"/>
              </w:rPr>
              <w:t>15</w:t>
            </w:r>
            <w:r>
              <w:t> J</w:t>
            </w:r>
            <w:r w:rsidRPr="00E813E3">
              <w:t> </w:t>
            </w:r>
          </w:p>
        </w:tc>
      </w:tr>
    </w:tbl>
    <w:p w:rsidR="007344FD" w:rsidRDefault="007344FD" w:rsidP="007344FD">
      <w:pPr>
        <w:pStyle w:val="Doc-titre2"/>
        <w:numPr>
          <w:ilvl w:val="0"/>
          <w:numId w:val="0"/>
        </w:numPr>
      </w:pPr>
    </w:p>
    <w:p w:rsidR="007344FD" w:rsidRDefault="007344FD">
      <w:pPr>
        <w:widowControl/>
        <w:suppressAutoHyphens w:val="0"/>
        <w:rPr>
          <w:rFonts w:asciiTheme="minorHAnsi" w:hAnsiTheme="minorHAnsi" w:cs="Optima"/>
          <w:b/>
          <w:sz w:val="32"/>
        </w:rPr>
      </w:pPr>
      <w:r>
        <w:br w:type="page"/>
      </w:r>
    </w:p>
    <w:p w:rsidR="00932B77" w:rsidRDefault="006A604B" w:rsidP="00421E82">
      <w:pPr>
        <w:pStyle w:val="Doc-titre2"/>
      </w:pPr>
      <w:bookmarkStart w:id="4" w:name="_Toc336593306"/>
      <w:r w:rsidRPr="007B2F7D">
        <w:lastRenderedPageBreak/>
        <w:t>Utilisation de l’énergie</w:t>
      </w:r>
      <w:bookmarkEnd w:id="4"/>
    </w:p>
    <w:p w:rsidR="008C56A8" w:rsidRDefault="00033F62" w:rsidP="00421E82">
      <w:pPr>
        <w:pStyle w:val="Doc-titre3"/>
      </w:pPr>
      <w:bookmarkStart w:id="5" w:name="_Toc336593307"/>
      <w:r>
        <w:t>Vecteurs énergétiques et stockage</w:t>
      </w:r>
      <w:r w:rsidR="008C56A8">
        <w:rPr>
          <w:rStyle w:val="Appelnotedebasdep"/>
        </w:rPr>
        <w:footnoteReference w:id="2"/>
      </w:r>
      <w:bookmarkEnd w:id="5"/>
    </w:p>
    <w:p w:rsidR="008C56A8" w:rsidRPr="0087021C" w:rsidRDefault="00A454F2" w:rsidP="0087021C">
      <w:pPr>
        <w:pStyle w:val="Doc-titre4"/>
      </w:pPr>
      <w:r>
        <w:pict>
          <v:shape id="_x0000_s1481" type="#_x0000_t202" style="position:absolute;left:0;text-align:left;margin-left:-28.35pt;margin-top:5.1pt;width:27.7pt;height:44.85pt;z-index:-251176960;mso-position-horizontal-relative:margin" fillcolor="#fc6" strokeweight="1pt">
            <v:fill color2="#663" rotate="t" angle="-90" focus="100%" type="gradient"/>
            <o:lock v:ext="edit" aspectratio="t"/>
            <v:textbox style="mso-next-textbox:#_x0000_s1481">
              <w:txbxContent>
                <w:p w:rsidR="009811EF" w:rsidRPr="00DD2F9B" w:rsidRDefault="009811EF" w:rsidP="00835EB4">
                  <w:pPr>
                    <w:jc w:val="center"/>
                    <w:rPr>
                      <w:rFonts w:ascii="Colonna MT" w:hAnsi="Colonna MT"/>
                      <w:b/>
                      <w:sz w:val="40"/>
                      <w:szCs w:val="40"/>
                    </w:rPr>
                  </w:pPr>
                  <w:r>
                    <w:rPr>
                      <w:rFonts w:ascii="Colonna MT" w:hAnsi="Colonna MT"/>
                      <w:b/>
                      <w:sz w:val="40"/>
                      <w:szCs w:val="40"/>
                    </w:rPr>
                    <w:t>E</w:t>
                  </w:r>
                </w:p>
              </w:txbxContent>
            </v:textbox>
            <w10:wrap anchorx="margin"/>
          </v:shape>
        </w:pict>
      </w:r>
      <w:bookmarkStart w:id="6" w:name="_Toc336593308"/>
      <w:r w:rsidR="008C56A8" w:rsidRPr="0087021C">
        <w:t>L’électricité, vecteur énergétique</w:t>
      </w:r>
      <w:bookmarkEnd w:id="6"/>
    </w:p>
    <w:p w:rsidR="008C56A8" w:rsidRDefault="001E5099" w:rsidP="009D7296">
      <w:pPr>
        <w:pStyle w:val="Doc-corpsdetexte"/>
      </w:pPr>
      <w:r>
        <w:rPr>
          <w:noProof/>
          <w:lang w:eastAsia="fr-FR" w:bidi="ar-SA"/>
        </w:rPr>
        <w:drawing>
          <wp:anchor distT="0" distB="0" distL="114300" distR="114300" simplePos="0" relativeHeight="252043264" behindDoc="0" locked="0" layoutInCell="1" allowOverlap="1">
            <wp:simplePos x="0" y="0"/>
            <wp:positionH relativeFrom="margin">
              <wp:posOffset>4290695</wp:posOffset>
            </wp:positionH>
            <wp:positionV relativeFrom="paragraph">
              <wp:posOffset>1569720</wp:posOffset>
            </wp:positionV>
            <wp:extent cx="3714750" cy="3200400"/>
            <wp:effectExtent l="0" t="0" r="0" b="0"/>
            <wp:wrapTopAndBottom/>
            <wp:docPr id="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lang w:eastAsia="fr-FR" w:bidi="ar-SA"/>
        </w:rPr>
        <w:drawing>
          <wp:anchor distT="0" distB="0" distL="114300" distR="114300" simplePos="0" relativeHeight="252107776" behindDoc="1" locked="0" layoutInCell="0" allowOverlap="1">
            <wp:simplePos x="0" y="0"/>
            <wp:positionH relativeFrom="page">
              <wp:posOffset>1724025</wp:posOffset>
            </wp:positionH>
            <wp:positionV relativeFrom="paragraph">
              <wp:posOffset>1493520</wp:posOffset>
            </wp:positionV>
            <wp:extent cx="5724525" cy="3009900"/>
            <wp:effectExtent l="0" t="0" r="0" b="0"/>
            <wp:wrapTopAndBottom/>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C56A8" w:rsidRPr="0087021C">
        <w:t>L’</w:t>
      </w:r>
      <w:r w:rsidR="008C56A8" w:rsidRPr="003101E5">
        <w:rPr>
          <w:b/>
          <w:color w:val="003399"/>
        </w:rPr>
        <w:t>énergie électrique</w:t>
      </w:r>
      <w:r w:rsidR="008C56A8" w:rsidRPr="00D02695">
        <w:rPr>
          <w:color w:val="008000"/>
        </w:rPr>
        <w:t xml:space="preserve"> </w:t>
      </w:r>
      <w:r w:rsidR="008C56A8">
        <w:t>n’est pas une source à proprement parlé, car – à ce jour – aucune source exploitée ne renferme de l’énergie électrique (contrairement à la foudre par exemple). L’électricité est crée par transformation d’une autre forme d’énergie, le plus souvent par transformation de l’énergie mécanique qui fait tourner une turbine couplée à un générateur. Consommer de l’électricité signifie, en réalité, alimenter un appareil en énergie électrique. Et l’électricité n’est pas utilisable en tant que telle, elle est de nouveau transformée selon l’utilisation : énergie mécanique (train, appareils électroménagers…), énergie thermique (chauffage, lampes…) ou énergie chimique (batteries). L’électricité est un moyen d’acheminer l’énergie là où on en a besoin.</w:t>
      </w:r>
    </w:p>
    <w:p w:rsidR="008C56A8" w:rsidRDefault="008C56A8" w:rsidP="006B3F54">
      <w:pPr>
        <w:pStyle w:val="Doc-corpsdetexte"/>
      </w:pPr>
      <w:r>
        <w:t>Les différentes formes d’énergie ne sont pas toujours transformées en électricité. Ainsi, la consommation finale d’électricité en France ne représente que 24 % de la consommation finale d’énergie.</w:t>
      </w:r>
    </w:p>
    <w:p w:rsidR="008C56A8" w:rsidRDefault="008C56A8" w:rsidP="0087021C">
      <w:pPr>
        <w:pStyle w:val="Doc-titre4"/>
      </w:pPr>
      <w:bookmarkStart w:id="7" w:name="_Toc336593309"/>
      <w:r>
        <w:lastRenderedPageBreak/>
        <w:t>Problématique du stockage</w:t>
      </w:r>
      <w:bookmarkEnd w:id="7"/>
    </w:p>
    <w:p w:rsidR="008C56A8" w:rsidRDefault="00A454F2" w:rsidP="009D7296">
      <w:pPr>
        <w:pStyle w:val="Doc-corpsdetexte"/>
      </w:pPr>
      <w:r>
        <w:rPr>
          <w:noProof/>
          <w:lang w:eastAsia="fr-FR" w:bidi="ar-SA"/>
        </w:rPr>
        <w:pict>
          <v:shape id="_x0000_s1482" type="#_x0000_t202" style="position:absolute;left:0;text-align:left;margin-left:-28.35pt;margin-top:4.35pt;width:27.7pt;height:44.85pt;z-index:-251175936;mso-position-horizontal-relative:margin" fillcolor="#f30" strokeweight="1pt">
            <v:fill color2="#ffc000" rotate="t" angle="-90" type="gradient"/>
            <o:lock v:ext="edit" aspectratio="t"/>
            <v:textbox style="mso-next-textbox:#_x0000_s1482">
              <w:txbxContent>
                <w:p w:rsidR="009811EF" w:rsidRPr="00DD2F9B" w:rsidRDefault="009811EF" w:rsidP="007F4F67">
                  <w:pPr>
                    <w:jc w:val="center"/>
                    <w:rPr>
                      <w:rFonts w:ascii="Colonna MT" w:hAnsi="Colonna MT"/>
                      <w:b/>
                      <w:sz w:val="40"/>
                      <w:szCs w:val="40"/>
                    </w:rPr>
                  </w:pPr>
                  <w:r>
                    <w:rPr>
                      <w:rFonts w:ascii="Colonna MT" w:hAnsi="Colonna MT"/>
                      <w:b/>
                      <w:sz w:val="40"/>
                      <w:szCs w:val="40"/>
                    </w:rPr>
                    <w:t>B</w:t>
                  </w:r>
                </w:p>
              </w:txbxContent>
            </v:textbox>
            <w10:wrap anchorx="margin"/>
          </v:shape>
        </w:pict>
      </w:r>
      <w:r w:rsidR="008C56A8">
        <w:t xml:space="preserve">Le stockage de l’énergie est nécessaire lors du déplacement en dehors du réseau et lors de la production même de l’énergie. Pour que l’énergie soit disponible même quand elle ne peut pas être produite, il faut stocker le surplus de production. La solution : la batterie d’accumulateur – ou simplement </w:t>
      </w:r>
      <w:r w:rsidR="008C56A8" w:rsidRPr="006856DF">
        <w:rPr>
          <w:b/>
          <w:color w:val="003399"/>
        </w:rPr>
        <w:t>batterie</w:t>
      </w:r>
      <w:r w:rsidR="008C56A8">
        <w:t xml:space="preserve"> –, réserve d’énergie sous forme chimique. Les batteries fonctionnent sur le procédé de transfert de charge entre éléments chimiques, elles sont donc alimentées par de l’électricité et fournissent de l’électricité en retour. A chaque cycle de charge/décharge, des particules s’accumulent sur les électrodes, diminuant le rendement de la batterie. L’autre facteur d’efficacité est la quantité d’énergie fournie par unité de masse. Les batteries Plomb-acide </w:t>
      </w:r>
      <w:r w:rsidR="006856DF">
        <w:t>(</w:t>
      </w:r>
      <w:r w:rsidR="006856DF" w:rsidRPr="00367696">
        <w:t>30</w:t>
      </w:r>
      <w:r w:rsidR="006856DF" w:rsidRPr="00367696">
        <w:softHyphen/>
      </w:r>
      <w:r w:rsidR="006856DF" w:rsidRPr="00367696">
        <w:softHyphen/>
      </w:r>
      <w:r w:rsidR="006856DF">
        <w:t> </w:t>
      </w:r>
      <w:r w:rsidR="006856DF" w:rsidRPr="00367696">
        <w:t>Wh</w:t>
      </w:r>
      <w:r w:rsidR="006856DF">
        <w:t xml:space="preserve">/kg) </w:t>
      </w:r>
      <w:r w:rsidR="008C56A8">
        <w:t>– voitures classiques – et Nickel-Cadmium</w:t>
      </w:r>
      <w:r w:rsidR="006856DF">
        <w:t xml:space="preserve"> (5</w:t>
      </w:r>
      <w:r w:rsidR="006856DF" w:rsidRPr="00367696">
        <w:t>0</w:t>
      </w:r>
      <w:r w:rsidR="006856DF" w:rsidRPr="00367696">
        <w:softHyphen/>
      </w:r>
      <w:r w:rsidR="006856DF" w:rsidRPr="00367696">
        <w:softHyphen/>
      </w:r>
      <w:r w:rsidR="006856DF">
        <w:t> </w:t>
      </w:r>
      <w:r w:rsidR="006856DF" w:rsidRPr="00367696">
        <w:t>Wh</w:t>
      </w:r>
      <w:r w:rsidR="006856DF">
        <w:t xml:space="preserve">/kg) </w:t>
      </w:r>
      <w:r w:rsidR="008C56A8">
        <w:t xml:space="preserve">– voitures hybrides et électriques– sont peu efficaces. Les batteries Lithium-ion, plus efficaces (150 Wh/kg) sont aujourd’hui utilisables pour les petits appareils. Mais les électrodes qui les composent sont en matériaux coûteux, ce qui limite leur transposition pour des utilisations plus énergivores. Technologie à l’étude pour une utilisation à plus grande échelle, ces batteries Lithium-ion ne sont pas encore adaptées au stockage des énergies intermittentes (solaire et éolien) : fluctuation des tensions dans le réseau électrique, autonomie, résistance aux écarts de températures… </w:t>
      </w:r>
    </w:p>
    <w:p w:rsidR="008C56A8" w:rsidRDefault="00A454F2" w:rsidP="009D7296">
      <w:pPr>
        <w:pStyle w:val="Doc-corpsdetexte"/>
      </w:pPr>
      <w:r>
        <w:pict>
          <v:shape id="_x0000_s1483" type="#_x0000_t202" style="position:absolute;left:0;text-align:left;margin-left:-28.35pt;margin-top:3.5pt;width:27.7pt;height:44.85pt;z-index:-251174912;mso-position-horizontal-relative:margin" fillcolor="#76923c [2406]" strokeweight="1pt">
            <v:fill color2="#0c9" rotate="t" angle="-90" focus="100%" type="gradient"/>
            <o:lock v:ext="edit" aspectratio="t"/>
            <v:textbox style="mso-next-textbox:#_x0000_s1483">
              <w:txbxContent>
                <w:p w:rsidR="009811EF" w:rsidRPr="00DD2F9B" w:rsidRDefault="009811EF" w:rsidP="007F4F67">
                  <w:pPr>
                    <w:jc w:val="center"/>
                    <w:rPr>
                      <w:rFonts w:ascii="Colonna MT" w:hAnsi="Colonna MT"/>
                      <w:b/>
                      <w:sz w:val="40"/>
                      <w:szCs w:val="40"/>
                    </w:rPr>
                  </w:pPr>
                  <w:r>
                    <w:rPr>
                      <w:rFonts w:ascii="Colonna MT" w:hAnsi="Colonna MT"/>
                      <w:b/>
                      <w:sz w:val="40"/>
                      <w:szCs w:val="40"/>
                    </w:rPr>
                    <w:t>H</w:t>
                  </w:r>
                </w:p>
              </w:txbxContent>
            </v:textbox>
            <w10:wrap anchorx="margin"/>
          </v:shape>
        </w:pict>
      </w:r>
      <w:r w:rsidR="008C56A8">
        <w:t xml:space="preserve">L’une des formes de </w:t>
      </w:r>
      <w:r w:rsidR="008C56A8" w:rsidRPr="000B2C18">
        <w:rPr>
          <w:b/>
          <w:color w:val="003399"/>
        </w:rPr>
        <w:t>piles à combustible</w:t>
      </w:r>
      <w:r w:rsidR="008C56A8">
        <w:t>, nouvelle technique de stockage électrochimique, utilise du dioxygène (O</w:t>
      </w:r>
      <w:r w:rsidR="008C56A8" w:rsidRPr="002577C0">
        <w:rPr>
          <w:vertAlign w:val="subscript"/>
        </w:rPr>
        <w:t>2</w:t>
      </w:r>
      <w:r w:rsidR="008C56A8">
        <w:t>) et du dihydrogène (H</w:t>
      </w:r>
      <w:r w:rsidR="008C56A8" w:rsidRPr="002577C0">
        <w:rPr>
          <w:vertAlign w:val="subscript"/>
        </w:rPr>
        <w:t>2</w:t>
      </w:r>
      <w:r w:rsidR="008C56A8">
        <w:t>)</w:t>
      </w:r>
      <w:r w:rsidR="008C56A8">
        <w:rPr>
          <w:rStyle w:val="Appelnotedebasdep"/>
        </w:rPr>
        <w:footnoteReference w:id="3"/>
      </w:r>
      <w:r w:rsidR="008C56A8">
        <w:t>. Pour une utilisation dans les transports, l’H</w:t>
      </w:r>
      <w:r w:rsidR="008C56A8" w:rsidRPr="00ED1874">
        <w:rPr>
          <w:vertAlign w:val="subscript"/>
        </w:rPr>
        <w:t>2</w:t>
      </w:r>
      <w:r w:rsidR="008C56A8">
        <w:t xml:space="preserve"> doit être stocké en grande quantité, ce qui aujourd’hui n’est possible qu’en le gardant sous pression, procédé dangereux puisqu’il s’agit d’un gaz explosif. Dans certains pays, des voiture</w:t>
      </w:r>
      <w:r w:rsidR="00E469DD">
        <w:t>s</w:t>
      </w:r>
      <w:r w:rsidR="008C56A8">
        <w:t xml:space="preserve"> à hydrogène sont en circulation, mais ce système reste encore marginal</w:t>
      </w:r>
      <w:r w:rsidR="008C56A8">
        <w:rPr>
          <w:rStyle w:val="Appelnotedebasdep"/>
        </w:rPr>
        <w:footnoteReference w:id="4"/>
      </w:r>
      <w:r w:rsidR="008C56A8">
        <w:t>. L</w:t>
      </w:r>
      <w:r w:rsidR="008C56A8" w:rsidRPr="000B2C18">
        <w:t>’hydrogène</w:t>
      </w:r>
      <w:r w:rsidR="008C56A8">
        <w:t xml:space="preserve"> peut aussi être utilisé comme source de fabrication d’un carburant : le méthanol.</w:t>
      </w:r>
    </w:p>
    <w:p w:rsidR="002A4B3F" w:rsidRDefault="008C56A8" w:rsidP="009D7296">
      <w:pPr>
        <w:pStyle w:val="Doc-corpsdetexte"/>
      </w:pPr>
      <w:r>
        <w:t>Le stockage des énergies fossiles (pétrole, gaz naturel et charbon) est facile. En revanche, ces sources ne sont pas disponibles partout sur Terre, et le transport du lieu d’exploitation au lieu de raffinage et d’utilisation pose des problèmes techniques (fuites) et politiques (droits de passage). Pour l’énergie hydraulique (</w:t>
      </w:r>
      <w:r w:rsidR="00DA3D88">
        <w:t xml:space="preserve">chap. II.2.ii </w:t>
      </w:r>
      <w:r>
        <w:t>p </w:t>
      </w:r>
      <w:r w:rsidRPr="007F4F67">
        <w:rPr>
          <w:b/>
          <w:color w:val="FF0000"/>
        </w:rPr>
        <w:t>?</w:t>
      </w:r>
      <w:r>
        <w:t>), l’eau est utilisée comme forme de stockage dans les bassins de retenue. L’énergie mécanique de l’eau est utilisée pour produire de l’électricité en fonction des besoins.</w:t>
      </w:r>
    </w:p>
    <w:p w:rsidR="002A4B3F" w:rsidRDefault="002A4B3F">
      <w:pPr>
        <w:widowControl/>
        <w:suppressAutoHyphens w:val="0"/>
        <w:rPr>
          <w:rFonts w:asciiTheme="minorHAnsi" w:hAnsiTheme="minorHAnsi" w:cs="Optima"/>
        </w:rPr>
      </w:pPr>
      <w:r>
        <w:br w:type="page"/>
      </w:r>
    </w:p>
    <w:p w:rsidR="008C56A8" w:rsidRDefault="008C56A8" w:rsidP="00421E82">
      <w:pPr>
        <w:pStyle w:val="Doc-titre3"/>
      </w:pPr>
      <w:bookmarkStart w:id="8" w:name="_Toc336593310"/>
      <w:r w:rsidRPr="00E329FA">
        <w:lastRenderedPageBreak/>
        <w:t>Les sources d’énergie</w:t>
      </w:r>
      <w:bookmarkEnd w:id="8"/>
    </w:p>
    <w:p w:rsidR="008C56A8" w:rsidRPr="00E329FA" w:rsidRDefault="008C56A8" w:rsidP="009D7296">
      <w:pPr>
        <w:pStyle w:val="Doc-corpsdetexte"/>
      </w:pPr>
      <w:r>
        <w:t xml:space="preserve">Pour chaque source exploitée, la chaîne des transformations énergétiques est indiquée. En </w:t>
      </w:r>
      <w:r w:rsidRPr="00BE4EB0">
        <w:rPr>
          <w:color w:val="008000"/>
        </w:rPr>
        <w:t>vert</w:t>
      </w:r>
      <w:r>
        <w:t xml:space="preserve"> : à partir de la source jusqu’à la forme exploitée (transformations naturelles). En </w:t>
      </w:r>
      <w:r w:rsidRPr="005F2A77">
        <w:rPr>
          <w:color w:val="C00000"/>
        </w:rPr>
        <w:t>rouge</w:t>
      </w:r>
      <w:r>
        <w:t> : transformations pour l’exploitation humaine.</w:t>
      </w:r>
    </w:p>
    <w:p w:rsidR="008C56A8" w:rsidRPr="007B2F7D" w:rsidRDefault="00A454F2" w:rsidP="0087021C">
      <w:pPr>
        <w:pStyle w:val="Doc-titre4"/>
      </w:pPr>
      <w:r>
        <w:pict>
          <v:shape id="_x0000_s1485" type="#_x0000_t202" style="position:absolute;left:0;text-align:left;margin-left:-28.35pt;margin-top:6.3pt;width:27.7pt;height:44.85pt;z-index:-251172864;mso-position-horizontal-relative:margin" fillcolor="#663" strokeweight="1pt">
            <v:fill color2="#cf6" rotate="t" angle="-90" focus="100%" type="gradient"/>
            <o:lock v:ext="edit" aspectratio="t"/>
            <v:textbox style="mso-next-textbox:#_x0000_s1485">
              <w:txbxContent>
                <w:p w:rsidR="009811EF" w:rsidRPr="00DD2F9B" w:rsidRDefault="009811EF" w:rsidP="00BA004C">
                  <w:pPr>
                    <w:jc w:val="center"/>
                    <w:rPr>
                      <w:rFonts w:ascii="Colonna MT" w:hAnsi="Colonna MT"/>
                      <w:b/>
                      <w:sz w:val="40"/>
                      <w:szCs w:val="40"/>
                    </w:rPr>
                  </w:pPr>
                  <w:r>
                    <w:rPr>
                      <w:rFonts w:ascii="Colonna MT" w:hAnsi="Colonna MT"/>
                      <w:b/>
                      <w:sz w:val="40"/>
                      <w:szCs w:val="40"/>
                    </w:rPr>
                    <w:t>F</w:t>
                  </w:r>
                </w:p>
              </w:txbxContent>
            </v:textbox>
            <w10:wrap anchorx="margin"/>
          </v:shape>
        </w:pict>
      </w:r>
      <w:bookmarkStart w:id="9" w:name="_Toc336593311"/>
      <w:r w:rsidR="008C56A8" w:rsidRPr="007B2F7D">
        <w:t>Les énergies fossiles</w:t>
      </w:r>
      <w:bookmarkEnd w:id="9"/>
    </w:p>
    <w:tbl>
      <w:tblPr>
        <w:tblStyle w:val="Grilledutableau"/>
        <w:tblW w:w="131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780"/>
        <w:gridCol w:w="2192"/>
        <w:gridCol w:w="2126"/>
        <w:gridCol w:w="2202"/>
        <w:gridCol w:w="2268"/>
        <w:gridCol w:w="1276"/>
        <w:gridCol w:w="328"/>
      </w:tblGrid>
      <w:tr w:rsidR="008C56A8" w:rsidTr="00BA004C">
        <w:trPr>
          <w:jc w:val="center"/>
        </w:trPr>
        <w:tc>
          <w:tcPr>
            <w:tcW w:w="2780" w:type="dxa"/>
            <w:vAlign w:val="center"/>
          </w:tcPr>
          <w:p w:rsidR="008C56A8" w:rsidRPr="00BE4EB0" w:rsidRDefault="008C56A8" w:rsidP="00BA004C">
            <w:pPr>
              <w:pStyle w:val="Doc-corpsdetexte"/>
              <w:spacing w:after="0"/>
              <w:ind w:firstLine="0"/>
              <w:rPr>
                <w:b/>
                <w:color w:val="008000"/>
              </w:rPr>
            </w:pPr>
            <w:r w:rsidRPr="00BE4EB0">
              <w:rPr>
                <w:color w:val="008000"/>
              </w:rPr>
              <w:t>Energie nucléaire solaire</w:t>
            </w:r>
          </w:p>
        </w:tc>
        <w:tc>
          <w:tcPr>
            <w:tcW w:w="2192" w:type="dxa"/>
            <w:vAlign w:val="center"/>
          </w:tcPr>
          <w:p w:rsidR="008C56A8" w:rsidRPr="00BE4EB0" w:rsidRDefault="008C56A8" w:rsidP="00BA004C">
            <w:pPr>
              <w:pStyle w:val="Doc-corpsdetexte"/>
              <w:spacing w:after="0"/>
              <w:ind w:firstLine="0"/>
              <w:rPr>
                <w:b/>
                <w:color w:val="008000"/>
              </w:rPr>
            </w:pPr>
            <w:r w:rsidRPr="00BE4EB0">
              <w:rPr>
                <w:color w:val="008000"/>
              </w:rPr>
              <w:t>Energie lumineuse</w:t>
            </w:r>
          </w:p>
        </w:tc>
        <w:tc>
          <w:tcPr>
            <w:tcW w:w="2126" w:type="dxa"/>
            <w:vAlign w:val="center"/>
          </w:tcPr>
          <w:p w:rsidR="008C56A8" w:rsidRPr="00BE4EB0" w:rsidRDefault="008C56A8" w:rsidP="00BA004C">
            <w:pPr>
              <w:pStyle w:val="Doc-corpsdetexte"/>
              <w:spacing w:after="0"/>
              <w:ind w:firstLine="0"/>
              <w:rPr>
                <w:b/>
                <w:color w:val="008000"/>
              </w:rPr>
            </w:pPr>
            <w:r w:rsidRPr="00BE4EB0">
              <w:rPr>
                <w:color w:val="008000"/>
              </w:rPr>
              <w:t>Energie chimique</w:t>
            </w:r>
          </w:p>
        </w:tc>
        <w:tc>
          <w:tcPr>
            <w:tcW w:w="2202" w:type="dxa"/>
            <w:vAlign w:val="center"/>
          </w:tcPr>
          <w:p w:rsidR="008C56A8" w:rsidRPr="00BA004C" w:rsidRDefault="00A454F2" w:rsidP="00BA004C">
            <w:pPr>
              <w:pStyle w:val="Doc-corpsdetexte"/>
              <w:spacing w:after="0"/>
              <w:ind w:firstLine="0"/>
              <w:rPr>
                <w:b/>
                <w:color w:val="C00000"/>
              </w:rPr>
            </w:pPr>
            <w:r w:rsidRPr="00A454F2">
              <w:rPr>
                <w:noProof/>
                <w:color w:val="008000"/>
                <w:sz w:val="28"/>
                <w:lang w:eastAsia="fr-FR" w:bidi="ar-SA"/>
              </w:rPr>
              <w:pict>
                <v:shapetype id="_x0000_t32" coordsize="21600,21600" o:spt="32" o:oned="t" path="m,l21600,21600e" filled="f">
                  <v:path arrowok="t" fillok="f" o:connecttype="none"/>
                  <o:lock v:ext="edit" shapetype="t"/>
                </v:shapetype>
                <v:shape id="_x0000_s1439" type="#_x0000_t32" style="position:absolute;left:0;text-align:left;margin-left:-231.3pt;margin-top:10.55pt;width:12.9pt;height:.05pt;z-index:252094464;mso-position-horizontal-relative:text;mso-position-vertical-relative:margin" o:connectortype="straight" strokecolor="green">
                  <v:stroke endarrow="block"/>
                  <w10:wrap anchory="margin"/>
                </v:shape>
              </w:pict>
            </w:r>
            <w:r w:rsidRPr="00A454F2">
              <w:rPr>
                <w:noProof/>
                <w:color w:val="008000"/>
                <w:sz w:val="28"/>
                <w:lang w:eastAsia="fr-FR" w:bidi="ar-SA"/>
              </w:rPr>
              <w:pict>
                <v:shape id="_x0000_s1444" type="#_x0000_t32" style="position:absolute;left:0;text-align:left;margin-left:-121.5pt;margin-top:10.55pt;width:12.9pt;height:.05pt;z-index:252099584;mso-position-horizontal-relative:text;mso-position-vertical-relative:margin" o:connectortype="straight" strokecolor="green">
                  <v:stroke endarrow="block"/>
                  <w10:wrap anchory="margin"/>
                </v:shape>
              </w:pict>
            </w:r>
            <w:r w:rsidRPr="00A454F2">
              <w:rPr>
                <w:noProof/>
                <w:color w:val="008000"/>
                <w:sz w:val="28"/>
                <w:lang w:eastAsia="fr-FR" w:bidi="ar-SA"/>
              </w:rPr>
              <w:pict>
                <v:shape id="_x0000_s1440" type="#_x0000_t32" style="position:absolute;left:0;text-align:left;margin-left:-17.2pt;margin-top:10.5pt;width:12.9pt;height:.05pt;z-index:252095488;mso-position-horizontal-relative:text;mso-position-vertical-relative:margin" o:connectortype="straight" strokecolor="#c00000">
                  <v:stroke endarrow="block"/>
                  <w10:wrap anchory="margin"/>
                </v:shape>
              </w:pict>
            </w:r>
            <w:r w:rsidRPr="00A454F2">
              <w:rPr>
                <w:noProof/>
                <w:color w:val="C00000"/>
                <w:sz w:val="28"/>
                <w:lang w:eastAsia="fr-FR" w:bidi="ar-SA"/>
              </w:rPr>
              <w:pict>
                <v:shape id="_x0000_s1441" type="#_x0000_t32" style="position:absolute;left:0;text-align:left;margin-left:94.2pt;margin-top:10.5pt;width:12.9pt;height:.05pt;z-index:252096512;mso-position-horizontal-relative:text;mso-position-vertical-relative:margin" o:connectortype="straight" strokecolor="#c00000">
                  <v:stroke endarrow="block"/>
                  <w10:wrap anchory="margin"/>
                </v:shape>
              </w:pict>
            </w:r>
            <w:r w:rsidR="008C56A8" w:rsidRPr="00BA004C">
              <w:rPr>
                <w:color w:val="C00000"/>
              </w:rPr>
              <w:t>Energie thermique</w:t>
            </w:r>
          </w:p>
        </w:tc>
        <w:tc>
          <w:tcPr>
            <w:tcW w:w="2268" w:type="dxa"/>
            <w:vAlign w:val="center"/>
          </w:tcPr>
          <w:p w:rsidR="008C56A8" w:rsidRPr="00BE4EB0" w:rsidRDefault="008C56A8" w:rsidP="00BA004C">
            <w:pPr>
              <w:pStyle w:val="Doc-corpsdetexte"/>
              <w:spacing w:after="0"/>
              <w:ind w:firstLine="0"/>
              <w:rPr>
                <w:i/>
              </w:rPr>
            </w:pPr>
            <w:r w:rsidRPr="00BE4EB0">
              <w:rPr>
                <w:i/>
              </w:rPr>
              <w:t>Utilisation : chaleur</w:t>
            </w:r>
          </w:p>
        </w:tc>
        <w:tc>
          <w:tcPr>
            <w:tcW w:w="1276" w:type="dxa"/>
          </w:tcPr>
          <w:p w:rsidR="008C56A8" w:rsidRPr="00BA004C" w:rsidRDefault="008C56A8" w:rsidP="00BA004C">
            <w:pPr>
              <w:pStyle w:val="Doc-corpsdetexte"/>
              <w:spacing w:after="0"/>
              <w:ind w:firstLine="0"/>
              <w:rPr>
                <w:color w:val="C00000"/>
              </w:rPr>
            </w:pPr>
          </w:p>
        </w:tc>
        <w:tc>
          <w:tcPr>
            <w:tcW w:w="328" w:type="dxa"/>
          </w:tcPr>
          <w:p w:rsidR="008C56A8" w:rsidRPr="00BA004C" w:rsidRDefault="008C56A8" w:rsidP="00BA004C">
            <w:pPr>
              <w:pStyle w:val="Doc-corpsdetexte"/>
              <w:spacing w:after="0"/>
              <w:ind w:firstLine="0"/>
              <w:rPr>
                <w:color w:val="C00000"/>
              </w:rPr>
            </w:pPr>
          </w:p>
        </w:tc>
      </w:tr>
      <w:tr w:rsidR="008C56A8" w:rsidTr="00BA004C">
        <w:trPr>
          <w:jc w:val="center"/>
        </w:trPr>
        <w:tc>
          <w:tcPr>
            <w:tcW w:w="2780" w:type="dxa"/>
            <w:vAlign w:val="center"/>
          </w:tcPr>
          <w:p w:rsidR="008C56A8" w:rsidRDefault="008C56A8" w:rsidP="00BA004C">
            <w:pPr>
              <w:pStyle w:val="Doc-corpsdetexte"/>
              <w:ind w:firstLine="0"/>
            </w:pPr>
          </w:p>
        </w:tc>
        <w:tc>
          <w:tcPr>
            <w:tcW w:w="4318" w:type="dxa"/>
            <w:gridSpan w:val="2"/>
            <w:vAlign w:val="center"/>
          </w:tcPr>
          <w:p w:rsidR="008C56A8" w:rsidRDefault="008C56A8" w:rsidP="00BA004C">
            <w:pPr>
              <w:pStyle w:val="Doc-corpsdetexte"/>
              <w:ind w:firstLine="0"/>
              <w:rPr>
                <w:kern w:val="24"/>
              </w:rPr>
            </w:pPr>
          </w:p>
        </w:tc>
        <w:tc>
          <w:tcPr>
            <w:tcW w:w="2202" w:type="dxa"/>
            <w:vAlign w:val="center"/>
          </w:tcPr>
          <w:p w:rsidR="008C56A8" w:rsidRPr="00BA004C" w:rsidRDefault="008C56A8" w:rsidP="00BA004C">
            <w:pPr>
              <w:pStyle w:val="Doc-corpsdetexte"/>
              <w:ind w:firstLine="0"/>
              <w:rPr>
                <w:color w:val="C00000"/>
              </w:rPr>
            </w:pPr>
          </w:p>
        </w:tc>
        <w:tc>
          <w:tcPr>
            <w:tcW w:w="2268" w:type="dxa"/>
            <w:vAlign w:val="center"/>
          </w:tcPr>
          <w:p w:rsidR="008C56A8" w:rsidRPr="00BA004C" w:rsidRDefault="00A454F2" w:rsidP="00BA004C">
            <w:pPr>
              <w:pStyle w:val="Doc-corpsdetexte"/>
              <w:ind w:firstLine="0"/>
              <w:rPr>
                <w:color w:val="C00000"/>
              </w:rPr>
            </w:pPr>
            <w:r w:rsidRPr="00A454F2">
              <w:rPr>
                <w:noProof/>
                <w:color w:val="C00000"/>
                <w:sz w:val="28"/>
                <w:lang w:eastAsia="fr-FR" w:bidi="ar-SA"/>
              </w:rPr>
              <w:pict>
                <v:shape id="_x0000_s1491" type="#_x0000_t32" style="position:absolute;left:0;text-align:left;margin-left:96.75pt;margin-top:10pt;width:12.9pt;height:.05pt;z-index:252148736;mso-position-horizontal-relative:text;mso-position-vertical-relative:margin" o:connectortype="straight" strokecolor="#c00000">
                  <v:stroke endarrow="block"/>
                  <w10:wrap anchory="margin"/>
                </v:shape>
              </w:pict>
            </w:r>
            <w:r w:rsidR="008C56A8" w:rsidRPr="00BA004C">
              <w:rPr>
                <w:color w:val="C00000"/>
              </w:rPr>
              <w:t>Energie mécanique</w:t>
            </w:r>
          </w:p>
        </w:tc>
        <w:tc>
          <w:tcPr>
            <w:tcW w:w="1276" w:type="dxa"/>
          </w:tcPr>
          <w:p w:rsidR="008C56A8" w:rsidRPr="00BA004C" w:rsidRDefault="00A454F2" w:rsidP="00BA004C">
            <w:pPr>
              <w:pStyle w:val="Doc-corpsdetexte"/>
              <w:ind w:firstLine="0"/>
              <w:rPr>
                <w:color w:val="C00000"/>
              </w:rPr>
            </w:pPr>
            <w:r w:rsidRPr="00A454F2">
              <w:rPr>
                <w:noProof/>
                <w:color w:val="C00000"/>
                <w:sz w:val="28"/>
                <w:lang w:eastAsia="fr-FR" w:bidi="ar-SA"/>
              </w:rPr>
              <w:pict>
                <v:shape id="_x0000_s1443" type="#_x0000_t32" style="position:absolute;left:0;text-align:left;margin-left:53.45pt;margin-top:9.75pt;width:12.9pt;height:.05pt;z-index:252098560;mso-position-horizontal-relative:text;mso-position-vertical-relative:margin" o:connectortype="straight" strokecolor="#c00000">
                  <v:stroke endarrow="block"/>
                  <w10:wrap anchory="margin"/>
                </v:shape>
              </w:pict>
            </w:r>
            <w:r w:rsidR="008C56A8" w:rsidRPr="00BA004C">
              <w:rPr>
                <w:color w:val="C00000"/>
              </w:rPr>
              <w:t>Electricité</w:t>
            </w:r>
          </w:p>
        </w:tc>
        <w:tc>
          <w:tcPr>
            <w:tcW w:w="328" w:type="dxa"/>
            <w:vAlign w:val="center"/>
          </w:tcPr>
          <w:p w:rsidR="008C56A8" w:rsidRPr="00BA004C" w:rsidRDefault="008C56A8" w:rsidP="00BA004C">
            <w:pPr>
              <w:pStyle w:val="Doc-corpsdetexte"/>
              <w:ind w:firstLine="0"/>
              <w:jc w:val="right"/>
              <w:rPr>
                <w:color w:val="C00000"/>
              </w:rPr>
            </w:pPr>
            <w:r w:rsidRPr="00BA004C">
              <w:rPr>
                <w:color w:val="C00000"/>
              </w:rPr>
              <w:t>…</w:t>
            </w:r>
          </w:p>
        </w:tc>
      </w:tr>
    </w:tbl>
    <w:p w:rsidR="008C56A8" w:rsidRDefault="008C56A8" w:rsidP="00AB5ED0">
      <w:pPr>
        <w:pStyle w:val="Doc-corpsdetexte"/>
      </w:pPr>
      <w:r>
        <w:t>Les énergies fossiles sont des hydrocarbures, combustibles organiques principalement formés d’atomes de carbone (C) et d’atomes d’hydrogène (H), et résultant de la décomposition des êtres vivants. Moins de 1 % de la matière organique se retrouve piégée dans la roche et va sédimenter dans la croûte terrestre. Dans cette roche-mère, en absence d’oxygène, les bactéries dégradent la matière organique en C et H. La dégradation étant partielle, des traces d’autres éléments subsistent, nécessitant la purification des hydrocarbures.</w:t>
      </w:r>
    </w:p>
    <w:p w:rsidR="008C56A8" w:rsidRPr="0022275A" w:rsidRDefault="008C56A8" w:rsidP="00ED01D5">
      <w:pPr>
        <w:pStyle w:val="Doc-titre5"/>
      </w:pPr>
      <w:r w:rsidRPr="0022275A">
        <w:t xml:space="preserve">Hydrocarbures conventionnels : </w:t>
      </w:r>
      <w:r w:rsidRPr="0022275A">
        <w:rPr>
          <w:b/>
          <w:color w:val="003399"/>
        </w:rPr>
        <w:t>pétrole, gaz naturel et charbon</w:t>
      </w:r>
      <w:r w:rsidRPr="0022275A">
        <w:rPr>
          <w:rStyle w:val="Appeldenote"/>
        </w:rPr>
        <w:footnoteReference w:id="5"/>
      </w:r>
    </w:p>
    <w:p w:rsidR="008C56A8" w:rsidRDefault="008C56A8" w:rsidP="009D7296">
      <w:pPr>
        <w:pStyle w:val="Doc-corpsdetexte"/>
      </w:pPr>
      <w:r>
        <w:t xml:space="preserve">La matière dégradée est transformée par carbonisation en huile – le </w:t>
      </w:r>
      <w:r w:rsidRPr="005A4D9E">
        <w:rPr>
          <w:b/>
          <w:color w:val="003399"/>
        </w:rPr>
        <w:t>pétrole</w:t>
      </w:r>
      <w:r w:rsidRPr="00D903DB">
        <w:t xml:space="preserve"> – et en </w:t>
      </w:r>
      <w:r w:rsidRPr="005A4D9E">
        <w:rPr>
          <w:b/>
          <w:color w:val="003399"/>
        </w:rPr>
        <w:t>gaz naturel</w:t>
      </w:r>
      <w:r w:rsidRPr="005A4D9E">
        <w:t>.</w:t>
      </w:r>
      <w:r w:rsidRPr="00106472">
        <w:rPr>
          <w:color w:val="990099"/>
        </w:rPr>
        <w:t xml:space="preserve"> </w:t>
      </w:r>
      <w:r>
        <w:t>Pétrole et gaz s’écoulent de la roche-mère vers un réservoir rocheux plus poreux et perméable. Leur extraction se fait par simple forage. Le gaz naturel est composé d’au moins 80 % de méthane (CH</w:t>
      </w:r>
      <w:r w:rsidRPr="00EB0A27">
        <w:rPr>
          <w:vertAlign w:val="subscript"/>
        </w:rPr>
        <w:t>4</w:t>
      </w:r>
      <w:r>
        <w:t>), hydrocarbure le plus simple.</w:t>
      </w:r>
    </w:p>
    <w:p w:rsidR="008C56A8" w:rsidRPr="00BF505B" w:rsidRDefault="008C56A8" w:rsidP="009D7296">
      <w:pPr>
        <w:pStyle w:val="Doc-corpsdetexte"/>
        <w:rPr>
          <w:iCs/>
        </w:rPr>
      </w:pPr>
      <w:r>
        <w:t>Le</w:t>
      </w:r>
      <w:r>
        <w:rPr>
          <w:color w:val="6B0094"/>
        </w:rPr>
        <w:t xml:space="preserve"> </w:t>
      </w:r>
      <w:r w:rsidRPr="005A4D9E">
        <w:rPr>
          <w:b/>
          <w:color w:val="003399"/>
        </w:rPr>
        <w:t>charbon fossile</w:t>
      </w:r>
      <w:r w:rsidRPr="005A4D9E">
        <w:rPr>
          <w:color w:val="003399"/>
        </w:rPr>
        <w:t xml:space="preserve"> </w:t>
      </w:r>
      <w:r>
        <w:t>est issu de la décomposition de matière organique végétale uniquement. Il existe plusieurs qualités de charbon, plus ou moins riches en carbone : la tourbe (50 à 55 %), le lignite (55 à 75 %), la houille (75 à 90 %, forme désignée par l’appellation courante de « charbon ») et l’anthracite (&gt; 90 %). Le charbon est soit brûlé, soit transformé en coke (charbon concentré en carbone quasiment pur) ou en gaz</w:t>
      </w:r>
      <w:r w:rsidRPr="00BF505B">
        <w:t xml:space="preserve">. </w:t>
      </w:r>
      <w:r>
        <w:t>[</w:t>
      </w:r>
      <w:r w:rsidRPr="00BF505B">
        <w:rPr>
          <w:iCs/>
        </w:rPr>
        <w:t>NB : à ne pas confondre avec le charbon de bois, qui résulte d’une carbonisation directe du bois.</w:t>
      </w:r>
      <w:r>
        <w:rPr>
          <w:iCs/>
        </w:rPr>
        <w:t>]</w:t>
      </w:r>
    </w:p>
    <w:p w:rsidR="008C56A8" w:rsidRDefault="008C56A8" w:rsidP="00ED01D5">
      <w:pPr>
        <w:pStyle w:val="Doc-titre5"/>
      </w:pPr>
      <w:r>
        <w:t xml:space="preserve">Hydrocarbures non conventionnels : </w:t>
      </w:r>
      <w:r w:rsidRPr="00ED01D5">
        <w:rPr>
          <w:b/>
          <w:color w:val="003399"/>
        </w:rPr>
        <w:t>huiles et gaz de schiste, schistes bitumineux, hydrates de méthane</w:t>
      </w:r>
      <w:r>
        <w:rPr>
          <w:rStyle w:val="Appeldenote"/>
        </w:rPr>
        <w:footnoteReference w:id="6"/>
      </w:r>
      <w:r>
        <w:rPr>
          <w:vertAlign w:val="superscript"/>
        </w:rPr>
        <w:t>,</w:t>
      </w:r>
      <w:r>
        <w:rPr>
          <w:rStyle w:val="Appeldenote"/>
        </w:rPr>
        <w:footnoteReference w:id="7"/>
      </w:r>
    </w:p>
    <w:p w:rsidR="008C56A8" w:rsidRDefault="008C56A8" w:rsidP="009D7296">
      <w:pPr>
        <w:pStyle w:val="Doc-corpsdetexte"/>
      </w:pPr>
      <w:r>
        <w:t>Ces hydrocarbures sont de même nature que ceux cités précédemment. La différence réside dans les caractéristiques de la roche-mère et leur lieu de stockage.</w:t>
      </w:r>
    </w:p>
    <w:p w:rsidR="008C56A8" w:rsidRDefault="008C56A8" w:rsidP="009D7296">
      <w:pPr>
        <w:pStyle w:val="Doc-corpsdetexte"/>
      </w:pPr>
      <w:r w:rsidRPr="00705012">
        <w:t xml:space="preserve">Les </w:t>
      </w:r>
      <w:r w:rsidRPr="00A07F10">
        <w:rPr>
          <w:b/>
          <w:color w:val="003399"/>
        </w:rPr>
        <w:t>huiles et gaz de schiste</w:t>
      </w:r>
      <w:r>
        <w:rPr>
          <w:color w:val="6B0094"/>
        </w:rPr>
        <w:t xml:space="preserve"> </w:t>
      </w:r>
      <w:r>
        <w:rPr>
          <w:color w:val="00000A"/>
        </w:rPr>
        <w:t xml:space="preserve">sont du pétrole et du gaz naturel restés piégés dans la roche-mère ou dans un réservoir rocheux peu perméable. Leur extraction se fait par fracturation hydraulique : création de fissures dans la roche par injection d’un fluide à haute pression (100 atmosphères), </w:t>
      </w:r>
      <w:r>
        <w:rPr>
          <w:color w:val="00000A"/>
        </w:rPr>
        <w:lastRenderedPageBreak/>
        <w:t xml:space="preserve">afin de permettre aux hydrocarbures de s’en échapper. </w:t>
      </w:r>
      <w:r w:rsidRPr="00F8317B">
        <w:rPr>
          <w:color w:val="00000A"/>
        </w:rPr>
        <w:t>Cette technique est controversée à cause des risques environnementaux qu’elle présente : la forte pression peut créer une extension des fissures dans les roches voisines en cas de mauvais contrôle, et le fluide contient des additifs qui n</w:t>
      </w:r>
      <w:r>
        <w:rPr>
          <w:color w:val="00000A"/>
        </w:rPr>
        <w:t>’ont pas toujours été contrôlés (d</w:t>
      </w:r>
      <w:r w:rsidRPr="00F8317B">
        <w:rPr>
          <w:color w:val="00000A"/>
        </w:rPr>
        <w:t>es produits toxiques ont été utilisés aux Etats-Unis</w:t>
      </w:r>
      <w:r>
        <w:rPr>
          <w:color w:val="00000A"/>
        </w:rPr>
        <w:t>).</w:t>
      </w:r>
      <w:r w:rsidRPr="00F8317B">
        <w:rPr>
          <w:color w:val="00000A"/>
        </w:rPr>
        <w:t xml:space="preserve"> Les études n’offrent pas encore de recul quant à ce qu’il advient du fluide resté en profondeur, et aux éventuelles contaminations du sous-sol qui en découleraient. Le film </w:t>
      </w:r>
      <w:r w:rsidRPr="00F8317B">
        <w:rPr>
          <w:i/>
          <w:color w:val="00000A"/>
        </w:rPr>
        <w:t>Gasland</w:t>
      </w:r>
      <w:r w:rsidRPr="00F8317B">
        <w:rPr>
          <w:color w:val="00000A"/>
        </w:rPr>
        <w:t xml:space="preserve"> de Josh Fox dénonce les risques liés à cette technique</w:t>
      </w:r>
      <w:r w:rsidRPr="00F8317B">
        <w:rPr>
          <w:rStyle w:val="Appeldenote"/>
        </w:rPr>
        <w:footnoteReference w:id="8"/>
      </w:r>
      <w:r w:rsidRPr="00F8317B">
        <w:rPr>
          <w:color w:val="00000A"/>
        </w:rPr>
        <w:t>.</w:t>
      </w:r>
    </w:p>
    <w:p w:rsidR="008C56A8" w:rsidRDefault="008C56A8" w:rsidP="009D7296">
      <w:pPr>
        <w:pStyle w:val="Doc-corpsdetexte"/>
      </w:pPr>
      <w:r>
        <w:t xml:space="preserve">Lorsque la roche-mère n’est pas assez enfouie (température et pression trop faibles pour produire du pétrole), on obtient des </w:t>
      </w:r>
      <w:r w:rsidRPr="00353221">
        <w:rPr>
          <w:b/>
          <w:color w:val="003399"/>
        </w:rPr>
        <w:t>schistes bitumineux</w:t>
      </w:r>
      <w:r w:rsidRPr="00353221">
        <w:rPr>
          <w:b/>
        </w:rPr>
        <w:t>.</w:t>
      </w:r>
      <w:r>
        <w:t xml:space="preserve"> Pour en faire des combustibles exploitables, la réaction de carbonisation doit être complétée artificiellement en chauffant la roche à 450 °C. </w:t>
      </w:r>
      <w:r w:rsidRPr="005801C0">
        <w:t>Cette dépense d’énergie rend le procédé peu rentable, d’autant que le pétrole et le gaz ré</w:t>
      </w:r>
      <w:r>
        <w:t>cupérés sont de moindre qualité.</w:t>
      </w:r>
    </w:p>
    <w:p w:rsidR="008C56A8" w:rsidRDefault="008C56A8" w:rsidP="009D7296">
      <w:pPr>
        <w:pStyle w:val="Doc-corpsdetexte"/>
      </w:pPr>
      <w:r w:rsidRPr="00705012">
        <w:t>Les</w:t>
      </w:r>
      <w:r w:rsidRPr="00353221">
        <w:rPr>
          <w:b/>
          <w:color w:val="003399"/>
        </w:rPr>
        <w:t xml:space="preserve"> hydrates de méthane</w:t>
      </w:r>
      <w:r>
        <w:t xml:space="preserve"> sont des solides faits de méthane et d’eau. Ils se forment par cristallisation dans des conditions particulières de pression et de température. Leur utilisation en tant que source de méthane est encore à l’étude.</w:t>
      </w:r>
    </w:p>
    <w:p w:rsidR="008C56A8" w:rsidRPr="00ED01D5" w:rsidRDefault="008C56A8" w:rsidP="00ED01D5">
      <w:pPr>
        <w:pStyle w:val="Doc-titre5"/>
      </w:pPr>
      <w:r w:rsidRPr="00ED01D5">
        <w:t>Problématique des réserves</w:t>
      </w:r>
    </w:p>
    <w:p w:rsidR="008C56A8" w:rsidRDefault="008C56A8" w:rsidP="009D7296">
      <w:pPr>
        <w:pStyle w:val="Doc-corpsdetexte"/>
      </w:pPr>
      <w:r>
        <w:t>La vitesse de consommation des réserves d’hydrocarbures est telle que la totalité des ressources exploitables (hydrocarbures conventionnels et non conventionnels) pourrait être épuisée d’ici deux cent ans.</w:t>
      </w:r>
    </w:p>
    <w:tbl>
      <w:tblPr>
        <w:tblW w:w="15451" w:type="dxa"/>
        <w:tblInd w:w="-459" w:type="dxa"/>
        <w:tblBorders>
          <w:top w:val="single" w:sz="2" w:space="0" w:color="000001"/>
          <w:left w:val="single" w:sz="2" w:space="0" w:color="000001"/>
          <w:bottom w:val="single" w:sz="2" w:space="0" w:color="000001"/>
          <w:right w:val="single" w:sz="2" w:space="0" w:color="000001"/>
        </w:tblBorders>
        <w:tblLayout w:type="fixed"/>
        <w:tblCellMar>
          <w:left w:w="10" w:type="dxa"/>
          <w:right w:w="10" w:type="dxa"/>
        </w:tblCellMar>
        <w:tblLook w:val="0000"/>
      </w:tblPr>
      <w:tblGrid>
        <w:gridCol w:w="8364"/>
        <w:gridCol w:w="3543"/>
        <w:gridCol w:w="3544"/>
      </w:tblGrid>
      <w:tr w:rsidR="008C56A8" w:rsidRPr="003B7F7A" w:rsidTr="003B7F7A">
        <w:trPr>
          <w:cantSplit/>
        </w:trPr>
        <w:tc>
          <w:tcPr>
            <w:tcW w:w="15451" w:type="dxa"/>
            <w:gridSpan w:val="3"/>
            <w:tcBorders>
              <w:top w:val="single" w:sz="4" w:space="0" w:color="auto"/>
              <w:left w:val="single" w:sz="4" w:space="0" w:color="auto"/>
              <w:bottom w:val="single" w:sz="2" w:space="0" w:color="000001"/>
              <w:right w:val="single" w:sz="4" w:space="0" w:color="auto"/>
            </w:tcBorders>
            <w:shd w:val="clear" w:color="auto" w:fill="auto"/>
            <w:tcMar>
              <w:top w:w="0" w:type="dxa"/>
              <w:left w:w="108" w:type="dxa"/>
              <w:bottom w:w="0" w:type="dxa"/>
              <w:right w:w="108" w:type="dxa"/>
            </w:tcMar>
            <w:vAlign w:val="center"/>
          </w:tcPr>
          <w:p w:rsidR="008C56A8" w:rsidRPr="003B7F7A" w:rsidRDefault="008C56A8" w:rsidP="003B7F7A">
            <w:pPr>
              <w:pStyle w:val="Doc-corpsdetexte"/>
              <w:spacing w:after="0"/>
              <w:ind w:firstLine="0"/>
              <w:rPr>
                <w:b/>
              </w:rPr>
            </w:pPr>
            <w:r w:rsidRPr="003B7F7A">
              <w:rPr>
                <w:b/>
              </w:rPr>
              <w:t>Estimation des ressources mondiales en hydrocarbures conventionnels en 2006</w:t>
            </w:r>
            <w:r w:rsidRPr="003B7F7A">
              <w:rPr>
                <w:b/>
              </w:rPr>
              <w:tab/>
            </w:r>
          </w:p>
        </w:tc>
      </w:tr>
      <w:tr w:rsidR="008C56A8" w:rsidTr="00E5523E">
        <w:trPr>
          <w:cantSplit/>
        </w:trPr>
        <w:tc>
          <w:tcPr>
            <w:tcW w:w="8364" w:type="dxa"/>
            <w:tcBorders>
              <w:left w:val="single" w:sz="2" w:space="0" w:color="000001"/>
              <w:bottom w:val="single" w:sz="2" w:space="0" w:color="000001"/>
            </w:tcBorders>
            <w:shd w:val="clear" w:color="auto" w:fill="auto"/>
            <w:tcMar>
              <w:top w:w="0" w:type="dxa"/>
              <w:left w:w="108" w:type="dxa"/>
              <w:bottom w:w="0" w:type="dxa"/>
              <w:right w:w="108" w:type="dxa"/>
            </w:tcMar>
            <w:vAlign w:val="center"/>
          </w:tcPr>
          <w:p w:rsidR="008C56A8" w:rsidRDefault="008C56A8" w:rsidP="003B7F7A">
            <w:pPr>
              <w:pStyle w:val="Doc-corpsdetexte"/>
              <w:spacing w:after="0"/>
              <w:ind w:firstLine="0"/>
            </w:pPr>
            <w:r>
              <w:t>Ressources totales estimées de pétrole</w:t>
            </w:r>
          </w:p>
        </w:tc>
        <w:tc>
          <w:tcPr>
            <w:tcW w:w="3543" w:type="dxa"/>
            <w:tcBorders>
              <w:left w:val="single" w:sz="2" w:space="0" w:color="000001"/>
              <w:bottom w:val="single" w:sz="2" w:space="0" w:color="000001"/>
            </w:tcBorders>
            <w:shd w:val="clear" w:color="auto" w:fill="auto"/>
            <w:tcMar>
              <w:top w:w="0" w:type="dxa"/>
              <w:left w:w="108" w:type="dxa"/>
              <w:bottom w:w="0" w:type="dxa"/>
              <w:right w:w="108" w:type="dxa"/>
            </w:tcMar>
            <w:vAlign w:val="center"/>
          </w:tcPr>
          <w:p w:rsidR="008C56A8" w:rsidRDefault="008C56A8" w:rsidP="00E5523E">
            <w:pPr>
              <w:pStyle w:val="Doc-corpsdetexte"/>
              <w:spacing w:after="0"/>
              <w:ind w:firstLine="0"/>
            </w:pPr>
            <w:r>
              <w:t>11.000 milliards de barils</w:t>
            </w:r>
          </w:p>
        </w:tc>
        <w:tc>
          <w:tcPr>
            <w:tcW w:w="3544" w:type="dxa"/>
            <w:tcBorders>
              <w:left w:val="single" w:sz="2" w:space="0" w:color="000001"/>
              <w:bottom w:val="single" w:sz="2" w:space="0" w:color="000001"/>
              <w:right w:val="single" w:sz="2" w:space="0" w:color="000001"/>
            </w:tcBorders>
            <w:shd w:val="clear" w:color="auto" w:fill="auto"/>
            <w:tcMar>
              <w:top w:w="0" w:type="dxa"/>
              <w:left w:w="108" w:type="dxa"/>
              <w:bottom w:w="0" w:type="dxa"/>
              <w:right w:w="108" w:type="dxa"/>
            </w:tcMar>
            <w:vAlign w:val="center"/>
          </w:tcPr>
          <w:p w:rsidR="008C56A8" w:rsidRDefault="008C56A8" w:rsidP="003B7F7A">
            <w:pPr>
              <w:pStyle w:val="Doc-corpsdetexte"/>
              <w:spacing w:after="0"/>
              <w:ind w:firstLine="0"/>
            </w:pPr>
            <w:r>
              <w:t>60 % d’extractibles</w:t>
            </w:r>
          </w:p>
        </w:tc>
      </w:tr>
      <w:tr w:rsidR="008C56A8" w:rsidTr="00E5523E">
        <w:trPr>
          <w:cantSplit/>
        </w:trPr>
        <w:tc>
          <w:tcPr>
            <w:tcW w:w="8364" w:type="dxa"/>
            <w:tcBorders>
              <w:left w:val="single" w:sz="2" w:space="0" w:color="000001"/>
              <w:bottom w:val="single" w:sz="2" w:space="0" w:color="000001"/>
            </w:tcBorders>
            <w:shd w:val="clear" w:color="auto" w:fill="auto"/>
            <w:tcMar>
              <w:top w:w="0" w:type="dxa"/>
              <w:left w:w="108" w:type="dxa"/>
              <w:bottom w:w="0" w:type="dxa"/>
              <w:right w:w="108" w:type="dxa"/>
            </w:tcMar>
            <w:vAlign w:val="center"/>
          </w:tcPr>
          <w:p w:rsidR="008C56A8" w:rsidRDefault="008C56A8" w:rsidP="003B7F7A">
            <w:pPr>
              <w:pStyle w:val="Doc-corpsdetexte"/>
              <w:spacing w:after="0"/>
              <w:ind w:firstLine="0"/>
            </w:pPr>
            <w:r>
              <w:t>Réserves prouvées de pétrole (gisements en production ou en développement)</w:t>
            </w:r>
          </w:p>
        </w:tc>
        <w:tc>
          <w:tcPr>
            <w:tcW w:w="3543" w:type="dxa"/>
            <w:tcBorders>
              <w:left w:val="single" w:sz="2" w:space="0" w:color="000001"/>
              <w:bottom w:val="single" w:sz="2" w:space="0" w:color="000001"/>
            </w:tcBorders>
            <w:shd w:val="clear" w:color="auto" w:fill="auto"/>
            <w:tcMar>
              <w:top w:w="0" w:type="dxa"/>
              <w:left w:w="108" w:type="dxa"/>
              <w:bottom w:w="0" w:type="dxa"/>
              <w:right w:w="108" w:type="dxa"/>
            </w:tcMar>
            <w:vAlign w:val="center"/>
          </w:tcPr>
          <w:p w:rsidR="008C56A8" w:rsidRDefault="008C56A8" w:rsidP="00E5523E">
            <w:pPr>
              <w:pStyle w:val="Doc-corpsdetexte"/>
              <w:spacing w:after="0"/>
              <w:ind w:firstLine="0"/>
            </w:pPr>
            <w:r>
              <w:t>1.200 milliards de barils</w:t>
            </w:r>
          </w:p>
        </w:tc>
        <w:tc>
          <w:tcPr>
            <w:tcW w:w="3544" w:type="dxa"/>
            <w:tcBorders>
              <w:left w:val="single" w:sz="2" w:space="0" w:color="000001"/>
              <w:bottom w:val="single" w:sz="2" w:space="0" w:color="000001"/>
              <w:right w:val="single" w:sz="2" w:space="0" w:color="000001"/>
            </w:tcBorders>
            <w:shd w:val="clear" w:color="auto" w:fill="auto"/>
            <w:tcMar>
              <w:top w:w="0" w:type="dxa"/>
              <w:left w:w="108" w:type="dxa"/>
              <w:bottom w:w="0" w:type="dxa"/>
              <w:right w:w="108" w:type="dxa"/>
            </w:tcMar>
            <w:vAlign w:val="center"/>
          </w:tcPr>
          <w:p w:rsidR="008C56A8" w:rsidRDefault="008C56A8" w:rsidP="003B7F7A">
            <w:pPr>
              <w:pStyle w:val="Doc-corpsdetexte"/>
              <w:spacing w:after="0"/>
              <w:ind w:firstLine="0"/>
            </w:pPr>
            <w:r>
              <w:t>41 ans de consommation</w:t>
            </w:r>
          </w:p>
        </w:tc>
      </w:tr>
      <w:tr w:rsidR="008C56A8" w:rsidTr="00E5523E">
        <w:trPr>
          <w:cantSplit/>
        </w:trPr>
        <w:tc>
          <w:tcPr>
            <w:tcW w:w="8364" w:type="dxa"/>
            <w:tcBorders>
              <w:left w:val="single" w:sz="2" w:space="0" w:color="000001"/>
              <w:bottom w:val="single" w:sz="2" w:space="0" w:color="000001"/>
            </w:tcBorders>
            <w:shd w:val="clear" w:color="auto" w:fill="auto"/>
            <w:tcMar>
              <w:top w:w="0" w:type="dxa"/>
              <w:left w:w="108" w:type="dxa"/>
              <w:bottom w:w="0" w:type="dxa"/>
              <w:right w:w="108" w:type="dxa"/>
            </w:tcMar>
            <w:vAlign w:val="center"/>
          </w:tcPr>
          <w:p w:rsidR="008C56A8" w:rsidRDefault="008C56A8" w:rsidP="003B7F7A">
            <w:pPr>
              <w:pStyle w:val="Doc-corpsdetexte"/>
              <w:spacing w:after="0"/>
              <w:ind w:firstLine="0"/>
            </w:pPr>
            <w:r>
              <w:t>Réserves de gaz</w:t>
            </w:r>
          </w:p>
        </w:tc>
        <w:tc>
          <w:tcPr>
            <w:tcW w:w="3543" w:type="dxa"/>
            <w:tcBorders>
              <w:left w:val="single" w:sz="2" w:space="0" w:color="000001"/>
              <w:bottom w:val="single" w:sz="2" w:space="0" w:color="000001"/>
            </w:tcBorders>
            <w:shd w:val="clear" w:color="auto" w:fill="auto"/>
            <w:tcMar>
              <w:top w:w="0" w:type="dxa"/>
              <w:left w:w="108" w:type="dxa"/>
              <w:bottom w:w="0" w:type="dxa"/>
              <w:right w:w="108" w:type="dxa"/>
            </w:tcMar>
            <w:vAlign w:val="center"/>
          </w:tcPr>
          <w:p w:rsidR="008C56A8" w:rsidRDefault="008C56A8" w:rsidP="00E5523E">
            <w:pPr>
              <w:pStyle w:val="Doc-corpsdetexte"/>
              <w:spacing w:after="0"/>
              <w:ind w:firstLine="0"/>
            </w:pPr>
            <w:r>
              <w:t>180.000 milliards de m</w:t>
            </w:r>
            <w:r>
              <w:rPr>
                <w:vertAlign w:val="superscript"/>
              </w:rPr>
              <w:t>3</w:t>
            </w:r>
          </w:p>
        </w:tc>
        <w:tc>
          <w:tcPr>
            <w:tcW w:w="3544" w:type="dxa"/>
            <w:tcBorders>
              <w:left w:val="single" w:sz="2" w:space="0" w:color="000001"/>
              <w:bottom w:val="single" w:sz="2" w:space="0" w:color="000001"/>
              <w:right w:val="single" w:sz="2" w:space="0" w:color="000001"/>
            </w:tcBorders>
            <w:shd w:val="clear" w:color="auto" w:fill="auto"/>
            <w:tcMar>
              <w:top w:w="0" w:type="dxa"/>
              <w:left w:w="108" w:type="dxa"/>
              <w:bottom w:w="0" w:type="dxa"/>
              <w:right w:w="108" w:type="dxa"/>
            </w:tcMar>
            <w:vAlign w:val="center"/>
          </w:tcPr>
          <w:p w:rsidR="008C56A8" w:rsidRDefault="008C56A8" w:rsidP="003B7F7A">
            <w:pPr>
              <w:pStyle w:val="Doc-corpsdetexte"/>
              <w:spacing w:after="0"/>
              <w:ind w:firstLine="0"/>
            </w:pPr>
            <w:r>
              <w:t>66 ans de consommation</w:t>
            </w:r>
          </w:p>
        </w:tc>
      </w:tr>
    </w:tbl>
    <w:p w:rsidR="008C56A8" w:rsidRPr="003B7F7A" w:rsidRDefault="003B7F7A" w:rsidP="003B7F7A">
      <w:pPr>
        <w:pStyle w:val="Doc-corpsdetexte"/>
        <w:tabs>
          <w:tab w:val="right" w:pos="14855"/>
        </w:tabs>
        <w:rPr>
          <w:i/>
        </w:rPr>
      </w:pPr>
      <w:r w:rsidRPr="003B7F7A">
        <w:rPr>
          <w:i/>
        </w:rPr>
        <w:tab/>
      </w:r>
      <w:r w:rsidR="008C56A8" w:rsidRPr="003B7F7A">
        <w:rPr>
          <w:i/>
        </w:rPr>
        <w:t>Source : IFPEN</w:t>
      </w:r>
    </w:p>
    <w:p w:rsidR="008C56A8" w:rsidRPr="00B9059D" w:rsidRDefault="008C56A8" w:rsidP="009D7296">
      <w:pPr>
        <w:pStyle w:val="Doc-corpsdetexte"/>
      </w:pPr>
      <w:r>
        <w:rPr>
          <w:color w:val="00000A"/>
        </w:rPr>
        <w:t>[</w:t>
      </w:r>
      <w:r w:rsidRPr="00D76E40">
        <w:t xml:space="preserve">NB : une partie </w:t>
      </w:r>
      <w:r>
        <w:t>des combustibles</w:t>
      </w:r>
      <w:r w:rsidRPr="00D76E40">
        <w:t xml:space="preserve"> </w:t>
      </w:r>
      <w:r>
        <w:t xml:space="preserve">fossiles </w:t>
      </w:r>
      <w:r w:rsidRPr="00D76E40">
        <w:t xml:space="preserve">est utilisée </w:t>
      </w:r>
      <w:r>
        <w:t xml:space="preserve">comme matière première </w:t>
      </w:r>
      <w:r w:rsidRPr="00D76E40">
        <w:t xml:space="preserve">dans l’industrie chimique </w:t>
      </w:r>
      <w:r>
        <w:t xml:space="preserve">et </w:t>
      </w:r>
      <w:r w:rsidRPr="00D76E40">
        <w:t>non</w:t>
      </w:r>
      <w:r>
        <w:t xml:space="preserve"> comme source</w:t>
      </w:r>
      <w:r w:rsidRPr="00D76E40">
        <w:t xml:space="preserve"> énergétique (fabrication de plastiques, solvants, engrais, bitume…).</w:t>
      </w:r>
      <w:r>
        <w:t>]</w:t>
      </w:r>
    </w:p>
    <w:p w:rsidR="008C56A8" w:rsidRPr="00C57F74" w:rsidRDefault="00A454F2" w:rsidP="0087021C">
      <w:pPr>
        <w:pStyle w:val="Doc-titre4"/>
      </w:pPr>
      <w:r>
        <w:pict>
          <v:shape id="_x0000_s1487" type="#_x0000_t202" style="position:absolute;left:0;text-align:left;margin-left:-28.35pt;margin-top:7.6pt;width:27.7pt;height:44.85pt;z-index:-251171840;mso-position-horizontal-relative:margin" fillcolor="#ff7c80" strokeweight="1pt">
            <v:fill color2="#339" rotate="t" angle="-90" focus="100%" type="gradient"/>
            <o:lock v:ext="edit" aspectratio="t"/>
            <v:textbox style="mso-next-textbox:#_x0000_s1487">
              <w:txbxContent>
                <w:p w:rsidR="009811EF" w:rsidRPr="00DD2F9B" w:rsidRDefault="009811EF" w:rsidP="00E82268">
                  <w:pPr>
                    <w:jc w:val="center"/>
                    <w:rPr>
                      <w:rFonts w:ascii="Colonna MT" w:hAnsi="Colonna MT"/>
                      <w:b/>
                      <w:sz w:val="40"/>
                      <w:szCs w:val="40"/>
                    </w:rPr>
                  </w:pPr>
                  <w:r>
                    <w:rPr>
                      <w:rFonts w:ascii="Colonna MT" w:hAnsi="Colonna MT"/>
                      <w:b/>
                      <w:sz w:val="40"/>
                      <w:szCs w:val="40"/>
                    </w:rPr>
                    <w:t>R</w:t>
                  </w:r>
                </w:p>
              </w:txbxContent>
            </v:textbox>
            <w10:wrap anchorx="margin"/>
          </v:shape>
        </w:pict>
      </w:r>
      <w:bookmarkStart w:id="10" w:name="_Toc336593312"/>
      <w:r w:rsidR="008C56A8" w:rsidRPr="00C57F74">
        <w:t>Les énergies renouvelables</w:t>
      </w:r>
      <w:r w:rsidR="008C56A8" w:rsidRPr="00C57F74">
        <w:rPr>
          <w:rStyle w:val="Appeldenote"/>
        </w:rPr>
        <w:footnoteReference w:id="9"/>
      </w:r>
      <w:r w:rsidR="008C56A8" w:rsidRPr="00C57F74">
        <w:rPr>
          <w:color w:val="00000A"/>
          <w:vertAlign w:val="superscript"/>
        </w:rPr>
        <w:t>,</w:t>
      </w:r>
      <w:r w:rsidR="008C56A8" w:rsidRPr="00C57F74">
        <w:rPr>
          <w:rStyle w:val="Appeldenote"/>
        </w:rPr>
        <w:footnoteReference w:id="10"/>
      </w:r>
      <w:bookmarkEnd w:id="10"/>
    </w:p>
    <w:p w:rsidR="008C56A8" w:rsidRDefault="008C56A8" w:rsidP="009D7296">
      <w:pPr>
        <w:pStyle w:val="Doc-corpsdetexte"/>
      </w:pPr>
      <w:r>
        <w:t>Une énergie renouvelable est une source d’énergie dont la quantité disponible est suffisamment importante pour que son utilisation n’en affecte pas les réserves ; ou qui se recrée – se renouvelle – plus vite que l’homme ne la puise.</w:t>
      </w:r>
    </w:p>
    <w:p w:rsidR="008C56A8" w:rsidRPr="00C57F74" w:rsidRDefault="00A454F2" w:rsidP="00ED01D5">
      <w:pPr>
        <w:pStyle w:val="Doc-titre5"/>
      </w:pPr>
      <w:r>
        <w:rPr>
          <w:noProof/>
          <w:lang w:eastAsia="fr-FR" w:bidi="ar-SA"/>
        </w:rPr>
        <w:lastRenderedPageBreak/>
        <w:pict>
          <v:shape id="_x0000_s1488" type="#_x0000_t202" style="position:absolute;left:0;text-align:left;margin-left:-28.35pt;margin-top:2.55pt;width:27.7pt;height:44.85pt;z-index:252145664;mso-position-horizontal-relative:margin" fillcolor="#0080c0" strokeweight="1pt">
            <v:fill color2="#006646" rotate="t" angle="-90" focus="100%" type="gradient"/>
            <o:lock v:ext="edit" aspectratio="t"/>
            <v:textbox style="mso-next-textbox:#_x0000_s1488">
              <w:txbxContent>
                <w:p w:rsidR="009811EF" w:rsidRPr="00DD2F9B" w:rsidRDefault="009811EF" w:rsidP="005203D5">
                  <w:pPr>
                    <w:jc w:val="center"/>
                    <w:rPr>
                      <w:rFonts w:ascii="Colonna MT" w:hAnsi="Colonna MT"/>
                      <w:b/>
                      <w:sz w:val="40"/>
                      <w:szCs w:val="40"/>
                    </w:rPr>
                  </w:pPr>
                  <w:r>
                    <w:rPr>
                      <w:rFonts w:ascii="Colonna MT" w:hAnsi="Colonna MT"/>
                      <w:b/>
                      <w:sz w:val="40"/>
                      <w:szCs w:val="40"/>
                    </w:rPr>
                    <w:t>S</w:t>
                  </w:r>
                </w:p>
              </w:txbxContent>
            </v:textbox>
            <w10:wrap anchorx="margin"/>
          </v:shape>
        </w:pict>
      </w:r>
      <w:r w:rsidR="008C56A8" w:rsidRPr="00C57F74">
        <w:t>Energie solaire</w:t>
      </w:r>
    </w:p>
    <w:tbl>
      <w:tblPr>
        <w:tblStyle w:val="Grilledutableau"/>
        <w:tblW w:w="14291" w:type="dxa"/>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093"/>
        <w:gridCol w:w="2835"/>
        <w:gridCol w:w="2126"/>
        <w:gridCol w:w="2155"/>
        <w:gridCol w:w="2268"/>
        <w:gridCol w:w="1276"/>
        <w:gridCol w:w="538"/>
      </w:tblGrid>
      <w:tr w:rsidR="00110194" w:rsidRPr="00BE4EB0" w:rsidTr="00110194">
        <w:trPr>
          <w:jc w:val="center"/>
        </w:trPr>
        <w:tc>
          <w:tcPr>
            <w:tcW w:w="3093" w:type="dxa"/>
          </w:tcPr>
          <w:p w:rsidR="00110194" w:rsidRPr="00110194" w:rsidRDefault="00110194" w:rsidP="00110194">
            <w:pPr>
              <w:pStyle w:val="Doc-corpsdetexte"/>
              <w:spacing w:after="0"/>
              <w:rPr>
                <w:b/>
                <w:color w:val="003399"/>
              </w:rPr>
            </w:pPr>
            <w:r w:rsidRPr="00F976C1">
              <w:rPr>
                <w:b/>
                <w:color w:val="003399"/>
              </w:rPr>
              <w:t>Energie solaire thermique</w:t>
            </w:r>
          </w:p>
        </w:tc>
        <w:tc>
          <w:tcPr>
            <w:tcW w:w="2835" w:type="dxa"/>
            <w:vAlign w:val="center"/>
          </w:tcPr>
          <w:p w:rsidR="00110194" w:rsidRPr="00BE4EB0" w:rsidRDefault="00110194" w:rsidP="00110194">
            <w:pPr>
              <w:pStyle w:val="Doc-corpsdetexte"/>
              <w:spacing w:after="0"/>
              <w:ind w:firstLine="0"/>
              <w:jc w:val="right"/>
              <w:rPr>
                <w:b/>
                <w:color w:val="008000"/>
              </w:rPr>
            </w:pPr>
            <w:r w:rsidRPr="00BE4EB0">
              <w:rPr>
                <w:color w:val="008000"/>
              </w:rPr>
              <w:t>Energie nucléaire solaire</w:t>
            </w:r>
          </w:p>
        </w:tc>
        <w:tc>
          <w:tcPr>
            <w:tcW w:w="2126" w:type="dxa"/>
            <w:vAlign w:val="center"/>
          </w:tcPr>
          <w:p w:rsidR="00110194" w:rsidRPr="00BE4EB0" w:rsidRDefault="00A454F2" w:rsidP="00110194">
            <w:pPr>
              <w:pStyle w:val="Doc-corpsdetexte"/>
              <w:spacing w:after="0"/>
              <w:ind w:firstLine="0"/>
              <w:jc w:val="right"/>
              <w:rPr>
                <w:b/>
                <w:color w:val="008000"/>
              </w:rPr>
            </w:pPr>
            <w:r w:rsidRPr="00A454F2">
              <w:rPr>
                <w:noProof/>
                <w:color w:val="008000"/>
                <w:lang w:eastAsia="fr-FR" w:bidi="ar-SA"/>
              </w:rPr>
              <w:pict>
                <v:shape id="_x0000_s1615" type="#_x0000_t32" style="position:absolute;left:0;text-align:left;margin-left:1.8pt;margin-top:10.3pt;width:12.9pt;height:.05pt;z-index:252247040;mso-position-horizontal-relative:text;mso-position-vertical-relative:margin" o:connectortype="straight" strokecolor="green">
                  <v:stroke endarrow="block"/>
                  <w10:wrap anchory="margin"/>
                </v:shape>
              </w:pict>
            </w:r>
            <w:r w:rsidR="00110194" w:rsidRPr="00BE4EB0">
              <w:rPr>
                <w:color w:val="008000"/>
              </w:rPr>
              <w:t>Energie lumineuse</w:t>
            </w:r>
          </w:p>
        </w:tc>
        <w:tc>
          <w:tcPr>
            <w:tcW w:w="2155" w:type="dxa"/>
            <w:vAlign w:val="center"/>
          </w:tcPr>
          <w:p w:rsidR="00110194" w:rsidRPr="00BE4EB0" w:rsidRDefault="00A454F2" w:rsidP="00110194">
            <w:pPr>
              <w:pStyle w:val="Doc-corpsdetexte"/>
              <w:spacing w:after="0"/>
              <w:ind w:firstLine="0"/>
              <w:jc w:val="right"/>
              <w:rPr>
                <w:b/>
                <w:color w:val="C00000"/>
              </w:rPr>
            </w:pPr>
            <w:r w:rsidRPr="00A454F2">
              <w:rPr>
                <w:noProof/>
                <w:color w:val="008000"/>
                <w:lang w:eastAsia="fr-FR" w:bidi="ar-SA"/>
              </w:rPr>
              <w:pict>
                <v:shape id="_x0000_s1616" type="#_x0000_t32" style="position:absolute;left:0;text-align:left;margin-left:2pt;margin-top:9.7pt;width:12.9pt;height:.05pt;z-index:252248064;mso-position-horizontal-relative:text;mso-position-vertical-relative:margin" o:connectortype="straight" strokecolor="#c00000">
                  <v:stroke endarrow="block"/>
                  <w10:wrap anchory="margin"/>
                </v:shape>
              </w:pict>
            </w:r>
            <w:r w:rsidR="00110194" w:rsidRPr="00BE4EB0">
              <w:rPr>
                <w:color w:val="C00000"/>
              </w:rPr>
              <w:t>Energie thermique</w:t>
            </w:r>
          </w:p>
        </w:tc>
        <w:tc>
          <w:tcPr>
            <w:tcW w:w="2268" w:type="dxa"/>
            <w:vAlign w:val="center"/>
          </w:tcPr>
          <w:p w:rsidR="00110194" w:rsidRPr="00BE4EB0" w:rsidRDefault="00A454F2" w:rsidP="00110194">
            <w:pPr>
              <w:pStyle w:val="Doc-corpsdetexte"/>
              <w:spacing w:after="0"/>
              <w:ind w:firstLine="0"/>
              <w:jc w:val="right"/>
              <w:rPr>
                <w:i/>
              </w:rPr>
            </w:pPr>
            <w:r w:rsidRPr="00A454F2">
              <w:rPr>
                <w:noProof/>
                <w:color w:val="C00000"/>
                <w:lang w:eastAsia="fr-FR" w:bidi="ar-SA"/>
              </w:rPr>
              <w:pict>
                <v:shape id="_x0000_s1618" type="#_x0000_t32" style="position:absolute;left:0;text-align:left;margin-left:3.35pt;margin-top:10.3pt;width:15pt;height:17.65pt;z-index:252250112;mso-position-horizontal-relative:text;mso-position-vertical-relative:text" o:connectortype="straight" strokecolor="#c00000">
                  <v:stroke endarrow="block"/>
                </v:shape>
              </w:pict>
            </w:r>
            <w:r w:rsidRPr="00A454F2">
              <w:rPr>
                <w:noProof/>
                <w:color w:val="C00000"/>
                <w:lang w:eastAsia="fr-FR" w:bidi="ar-SA"/>
              </w:rPr>
              <w:pict>
                <v:shape id="_x0000_s1621" type="#_x0000_t32" style="position:absolute;left:0;text-align:left;margin-left:4.1pt;margin-top:9.75pt;width:12.9pt;height:.05pt;z-index:252253184;mso-position-horizontal-relative:text;mso-position-vertical-relative:margin" o:connectortype="straight" strokecolor="#c00000">
                  <v:stroke endarrow="block"/>
                  <w10:wrap anchory="margin"/>
                </v:shape>
              </w:pict>
            </w:r>
            <w:r w:rsidR="00110194" w:rsidRPr="00BE4EB0">
              <w:rPr>
                <w:i/>
              </w:rPr>
              <w:t>Utilisation : chaleur</w:t>
            </w:r>
          </w:p>
        </w:tc>
        <w:tc>
          <w:tcPr>
            <w:tcW w:w="1276" w:type="dxa"/>
            <w:vAlign w:val="center"/>
          </w:tcPr>
          <w:p w:rsidR="00110194" w:rsidRPr="00BE4EB0" w:rsidRDefault="00110194" w:rsidP="00110194">
            <w:pPr>
              <w:pStyle w:val="Doc-corpsdetexte"/>
              <w:spacing w:after="0"/>
              <w:ind w:firstLine="0"/>
              <w:jc w:val="right"/>
              <w:rPr>
                <w:color w:val="C00000"/>
              </w:rPr>
            </w:pPr>
          </w:p>
        </w:tc>
        <w:tc>
          <w:tcPr>
            <w:tcW w:w="538" w:type="dxa"/>
            <w:vAlign w:val="center"/>
          </w:tcPr>
          <w:p w:rsidR="00110194" w:rsidRPr="00BE4EB0" w:rsidRDefault="00110194" w:rsidP="00110194">
            <w:pPr>
              <w:pStyle w:val="Doc-corpsdetexte"/>
              <w:spacing w:after="0"/>
              <w:ind w:firstLine="0"/>
              <w:jc w:val="right"/>
              <w:rPr>
                <w:color w:val="00B050"/>
              </w:rPr>
            </w:pPr>
          </w:p>
        </w:tc>
      </w:tr>
      <w:tr w:rsidR="00110194" w:rsidTr="00110194">
        <w:trPr>
          <w:jc w:val="center"/>
        </w:trPr>
        <w:tc>
          <w:tcPr>
            <w:tcW w:w="3093" w:type="dxa"/>
          </w:tcPr>
          <w:p w:rsidR="00110194" w:rsidRDefault="00110194" w:rsidP="00BE4EB0">
            <w:pPr>
              <w:pStyle w:val="Doc-corpsdetexte"/>
              <w:ind w:firstLine="0"/>
            </w:pPr>
          </w:p>
        </w:tc>
        <w:tc>
          <w:tcPr>
            <w:tcW w:w="2835" w:type="dxa"/>
            <w:vAlign w:val="center"/>
          </w:tcPr>
          <w:p w:rsidR="00110194" w:rsidRDefault="00110194" w:rsidP="00110194">
            <w:pPr>
              <w:pStyle w:val="Doc-corpsdetexte"/>
              <w:ind w:firstLine="0"/>
              <w:jc w:val="right"/>
            </w:pPr>
          </w:p>
        </w:tc>
        <w:tc>
          <w:tcPr>
            <w:tcW w:w="2126" w:type="dxa"/>
            <w:vAlign w:val="center"/>
          </w:tcPr>
          <w:p w:rsidR="00110194" w:rsidRDefault="00110194" w:rsidP="00110194">
            <w:pPr>
              <w:pStyle w:val="Doc-corpsdetexte"/>
              <w:ind w:firstLine="0"/>
              <w:jc w:val="right"/>
            </w:pPr>
          </w:p>
        </w:tc>
        <w:tc>
          <w:tcPr>
            <w:tcW w:w="2155" w:type="dxa"/>
            <w:vAlign w:val="center"/>
          </w:tcPr>
          <w:p w:rsidR="00110194" w:rsidRPr="00BE4EB0" w:rsidRDefault="00110194" w:rsidP="00110194">
            <w:pPr>
              <w:pStyle w:val="Doc-corpsdetexte"/>
              <w:ind w:firstLine="0"/>
              <w:jc w:val="right"/>
              <w:rPr>
                <w:color w:val="C00000"/>
              </w:rPr>
            </w:pPr>
          </w:p>
        </w:tc>
        <w:tc>
          <w:tcPr>
            <w:tcW w:w="2268" w:type="dxa"/>
            <w:vAlign w:val="center"/>
          </w:tcPr>
          <w:p w:rsidR="00110194" w:rsidRPr="00BE4EB0" w:rsidRDefault="00110194" w:rsidP="00110194">
            <w:pPr>
              <w:pStyle w:val="Doc-corpsdetexte"/>
              <w:ind w:firstLine="0"/>
              <w:jc w:val="right"/>
              <w:rPr>
                <w:b/>
                <w:color w:val="C00000"/>
              </w:rPr>
            </w:pPr>
            <w:r w:rsidRPr="00BE4EB0">
              <w:rPr>
                <w:color w:val="C00000"/>
              </w:rPr>
              <w:t>Energie mécanique</w:t>
            </w:r>
          </w:p>
        </w:tc>
        <w:tc>
          <w:tcPr>
            <w:tcW w:w="1276" w:type="dxa"/>
            <w:vAlign w:val="center"/>
          </w:tcPr>
          <w:p w:rsidR="00110194" w:rsidRPr="00BE4EB0" w:rsidRDefault="00A454F2" w:rsidP="00110194">
            <w:pPr>
              <w:pStyle w:val="Doc-corpsdetexte"/>
              <w:ind w:firstLine="0"/>
              <w:jc w:val="right"/>
              <w:rPr>
                <w:b/>
                <w:color w:val="C00000"/>
              </w:rPr>
            </w:pPr>
            <w:r w:rsidRPr="00A454F2">
              <w:rPr>
                <w:noProof/>
                <w:color w:val="C00000"/>
                <w:lang w:eastAsia="fr-FR" w:bidi="ar-SA"/>
              </w:rPr>
              <w:pict>
                <v:shape id="_x0000_s1619" type="#_x0000_t32" style="position:absolute;left:0;text-align:left;margin-left:.6pt;margin-top:9.6pt;width:12.9pt;height:.05pt;z-index:252251136;mso-position-horizontal-relative:text;mso-position-vertical-relative:margin" o:connectortype="straight" strokecolor="#c00000">
                  <v:stroke endarrow="block"/>
                  <w10:wrap anchory="margin"/>
                </v:shape>
              </w:pict>
            </w:r>
            <w:r w:rsidR="00110194" w:rsidRPr="00BE4EB0">
              <w:rPr>
                <w:color w:val="C00000"/>
              </w:rPr>
              <w:t>Electricité</w:t>
            </w:r>
          </w:p>
        </w:tc>
        <w:tc>
          <w:tcPr>
            <w:tcW w:w="538" w:type="dxa"/>
            <w:vAlign w:val="center"/>
          </w:tcPr>
          <w:p w:rsidR="00110194" w:rsidRPr="00BE4EB0" w:rsidRDefault="00A454F2" w:rsidP="00110194">
            <w:pPr>
              <w:pStyle w:val="Doc-corpsdetexte"/>
              <w:ind w:firstLine="0"/>
              <w:jc w:val="right"/>
              <w:rPr>
                <w:color w:val="C00000"/>
              </w:rPr>
            </w:pPr>
            <w:r>
              <w:rPr>
                <w:noProof/>
                <w:color w:val="C00000"/>
                <w:lang w:eastAsia="fr-FR" w:bidi="ar-SA"/>
              </w:rPr>
              <w:pict>
                <v:shape id="_x0000_s1620" type="#_x0000_t32" style="position:absolute;left:0;text-align:left;margin-left:1.1pt;margin-top:9.7pt;width:12.9pt;height:.05pt;z-index:252252160;mso-position-horizontal-relative:text;mso-position-vertical-relative:margin" o:connectortype="straight" strokecolor="#c00000">
                  <v:stroke endarrow="block"/>
                  <w10:wrap anchory="margin"/>
                </v:shape>
              </w:pict>
            </w:r>
            <w:r w:rsidR="00110194" w:rsidRPr="00BE4EB0">
              <w:rPr>
                <w:color w:val="C00000"/>
              </w:rPr>
              <w:t>…</w:t>
            </w:r>
          </w:p>
        </w:tc>
      </w:tr>
    </w:tbl>
    <w:p w:rsidR="008C56A8" w:rsidRDefault="008C56A8" w:rsidP="009D7296">
      <w:pPr>
        <w:pStyle w:val="Doc-corpsdetexte"/>
      </w:pPr>
      <w:r w:rsidRPr="004D426E">
        <w:rPr>
          <w:i/>
        </w:rPr>
        <w:t>Basse température</w:t>
      </w:r>
      <w:r>
        <w:rPr>
          <w:b/>
        </w:rPr>
        <w:t> </w:t>
      </w:r>
      <w:r>
        <w:t xml:space="preserve">: chauffage individuel de l’eau et du foyer. Le rayonnement solaire est récupéré par des capteurs qui chauffent un fluide caloporteur. Il s’agit d’un liquide ou d’un gaz qui transporte la chaleur au travers d’un réseau de tuyaux. </w:t>
      </w:r>
    </w:p>
    <w:p w:rsidR="008C56A8" w:rsidRDefault="008C56A8" w:rsidP="009D7296">
      <w:pPr>
        <w:pStyle w:val="Doc-corpsdetexte"/>
      </w:pPr>
      <w:r w:rsidRPr="004D426E">
        <w:rPr>
          <w:i/>
        </w:rPr>
        <w:t>Haute température</w:t>
      </w:r>
      <w:r>
        <w:t xml:space="preserve"> : fonctionnement des centrales solaires. Les rayons du soleil sont concentrés sur un même capteur grâce à un jeu de miroir. Le capteur est couplé à un fluide caloporteur chauffé entre 400 °C et 1000 °C selon le type d’installation. La chaleur peut être utilisée directement ou être transformée en électricité. </w:t>
      </w:r>
    </w:p>
    <w:tbl>
      <w:tblPr>
        <w:tblStyle w:val="Grilledutableau"/>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544"/>
        <w:gridCol w:w="6662"/>
        <w:gridCol w:w="2127"/>
        <w:gridCol w:w="1417"/>
        <w:gridCol w:w="567"/>
      </w:tblGrid>
      <w:tr w:rsidR="00110194" w:rsidTr="00E6133E">
        <w:tc>
          <w:tcPr>
            <w:tcW w:w="3544" w:type="dxa"/>
          </w:tcPr>
          <w:p w:rsidR="00110194" w:rsidRPr="00110194" w:rsidRDefault="00110194" w:rsidP="00A63A95">
            <w:pPr>
              <w:pStyle w:val="Doc-corpsdetexte"/>
              <w:rPr>
                <w:b/>
                <w:color w:val="003399"/>
              </w:rPr>
            </w:pPr>
            <w:r w:rsidRPr="00F976C1">
              <w:rPr>
                <w:b/>
                <w:color w:val="003399"/>
              </w:rPr>
              <w:t>Energie solaire photovoltaïque</w:t>
            </w:r>
          </w:p>
        </w:tc>
        <w:tc>
          <w:tcPr>
            <w:tcW w:w="6662" w:type="dxa"/>
            <w:vAlign w:val="center"/>
          </w:tcPr>
          <w:p w:rsidR="00110194" w:rsidRPr="004D426E" w:rsidRDefault="00110194" w:rsidP="00A63A95">
            <w:pPr>
              <w:pStyle w:val="Doc-corpsdetexte"/>
              <w:ind w:firstLine="0"/>
              <w:jc w:val="right"/>
              <w:rPr>
                <w:b/>
                <w:color w:val="008000"/>
              </w:rPr>
            </w:pPr>
            <w:r w:rsidRPr="004D426E">
              <w:rPr>
                <w:color w:val="008000"/>
              </w:rPr>
              <w:t>Energie nucléaire solaire</w:t>
            </w:r>
          </w:p>
        </w:tc>
        <w:tc>
          <w:tcPr>
            <w:tcW w:w="2127" w:type="dxa"/>
            <w:vAlign w:val="center"/>
          </w:tcPr>
          <w:p w:rsidR="00110194" w:rsidRPr="004D426E" w:rsidRDefault="00A454F2" w:rsidP="00A63A95">
            <w:pPr>
              <w:pStyle w:val="Doc-corpsdetexte"/>
              <w:ind w:firstLine="0"/>
              <w:jc w:val="right"/>
              <w:rPr>
                <w:b/>
                <w:color w:val="008000"/>
              </w:rPr>
            </w:pPr>
            <w:r w:rsidRPr="00A454F2">
              <w:rPr>
                <w:noProof/>
                <w:color w:val="008000"/>
                <w:lang w:eastAsia="fr-FR" w:bidi="ar-SA"/>
              </w:rPr>
              <w:pict>
                <v:shape id="_x0000_s1622" type="#_x0000_t32" style="position:absolute;left:0;text-align:left;margin-left:3.65pt;margin-top:9.95pt;width:12.9pt;height:.05pt;z-index:252255232;mso-position-horizontal-relative:text;mso-position-vertical-relative:margin" o:connectortype="straight" strokecolor="green">
                  <v:stroke endarrow="block"/>
                  <w10:wrap anchory="margin"/>
                </v:shape>
              </w:pict>
            </w:r>
            <w:r w:rsidR="00110194" w:rsidRPr="004D426E">
              <w:rPr>
                <w:color w:val="008000"/>
              </w:rPr>
              <w:t>Energie lumineuse</w:t>
            </w:r>
          </w:p>
        </w:tc>
        <w:tc>
          <w:tcPr>
            <w:tcW w:w="1417" w:type="dxa"/>
            <w:vAlign w:val="center"/>
          </w:tcPr>
          <w:p w:rsidR="00110194" w:rsidRPr="004D426E" w:rsidRDefault="00A454F2" w:rsidP="00A63A95">
            <w:pPr>
              <w:pStyle w:val="Doc-corpsdetexte"/>
              <w:ind w:firstLine="0"/>
              <w:jc w:val="right"/>
              <w:rPr>
                <w:b/>
                <w:color w:val="C00000"/>
              </w:rPr>
            </w:pPr>
            <w:r w:rsidRPr="00A454F2">
              <w:rPr>
                <w:noProof/>
                <w:color w:val="008000"/>
                <w:lang w:eastAsia="fr-FR" w:bidi="ar-SA"/>
              </w:rPr>
              <w:pict>
                <v:shape id="_x0000_s1623" type="#_x0000_t32" style="position:absolute;left:0;text-align:left;margin-left:5.4pt;margin-top:9.4pt;width:12.9pt;height:.05pt;z-index:252256256;mso-position-horizontal-relative:text;mso-position-vertical-relative:margin" o:connectortype="straight" strokecolor="#c00000">
                  <v:stroke endarrow="block"/>
                  <w10:wrap anchory="margin"/>
                </v:shape>
              </w:pict>
            </w:r>
            <w:r w:rsidR="00110194" w:rsidRPr="004D426E">
              <w:rPr>
                <w:color w:val="C00000"/>
              </w:rPr>
              <w:t>Electricité</w:t>
            </w:r>
          </w:p>
        </w:tc>
        <w:tc>
          <w:tcPr>
            <w:tcW w:w="567" w:type="dxa"/>
            <w:vAlign w:val="center"/>
          </w:tcPr>
          <w:p w:rsidR="00110194" w:rsidRPr="004D426E" w:rsidRDefault="00A454F2" w:rsidP="00A63A95">
            <w:pPr>
              <w:pStyle w:val="Doc-corpsdetexte"/>
              <w:ind w:firstLine="0"/>
              <w:jc w:val="right"/>
              <w:rPr>
                <w:color w:val="C00000"/>
              </w:rPr>
            </w:pPr>
            <w:r>
              <w:rPr>
                <w:noProof/>
                <w:color w:val="C00000"/>
                <w:lang w:eastAsia="fr-FR" w:bidi="ar-SA"/>
              </w:rPr>
              <w:pict>
                <v:shape id="_x0000_s1624" type="#_x0000_t32" style="position:absolute;left:0;text-align:left;margin-left:2.35pt;margin-top:9.7pt;width:12.9pt;height:.05pt;z-index:252257280;mso-position-horizontal-relative:text;mso-position-vertical-relative:margin" o:connectortype="straight" strokecolor="#c00000">
                  <v:stroke endarrow="block"/>
                  <w10:wrap anchory="margin"/>
                </v:shape>
              </w:pict>
            </w:r>
            <w:r w:rsidR="00110194" w:rsidRPr="004D426E">
              <w:rPr>
                <w:color w:val="C00000"/>
              </w:rPr>
              <w:t>…</w:t>
            </w:r>
          </w:p>
        </w:tc>
      </w:tr>
    </w:tbl>
    <w:p w:rsidR="008C56A8" w:rsidRDefault="008C56A8" w:rsidP="009D7296">
      <w:pPr>
        <w:pStyle w:val="Doc-corpsdetexte"/>
      </w:pPr>
      <w:r>
        <w:t>Les matériaux utilisés dans les cellules photovoltaïques sont des semi-conducteurs – matériaux isolants mais ayant la possibilité de conduire un courant électrique sous certaines conditions. De façon simplifiée : les particules de lumières – les photons – vont frapper le semi-conducteur, entrainant le « détachement » d’électrons. Le matériau est construit de telle façon que les électrons excités sont entrainés dans un circuit, ce qui crée le courant électrique. Aujourd’hui, les technologies les plus répandues utilisent du silicium comme matériau semi-conducteur.</w:t>
      </w:r>
    </w:p>
    <w:p w:rsidR="008C56A8" w:rsidRDefault="00A454F2" w:rsidP="009D7296">
      <w:pPr>
        <w:pStyle w:val="Doc-corpsdetexte"/>
        <w:rPr>
          <w:color w:val="00000A"/>
        </w:rPr>
      </w:pPr>
      <w:r w:rsidRPr="00A454F2">
        <w:rPr>
          <w:noProof/>
          <w:lang w:eastAsia="fr-FR" w:bidi="ar-SA"/>
        </w:rPr>
        <w:pict>
          <v:shape id="_x0000_s1489" type="#_x0000_t202" style="position:absolute;left:0;text-align:left;margin-left:-28.35pt;margin-top:4.05pt;width:27.7pt;height:44.85pt;z-index:252146688;mso-position-horizontal-relative:margin" fillcolor="#339" strokeweight="1pt">
            <v:fill color2="#fd2f4c" rotate="t" angle="-90" focus="100%" type="gradient"/>
            <o:lock v:ext="edit" aspectratio="t"/>
            <v:textbox style="mso-next-textbox:#_x0000_s1489">
              <w:txbxContent>
                <w:p w:rsidR="009811EF" w:rsidRPr="00DD2F9B" w:rsidRDefault="009811EF" w:rsidP="00585A08">
                  <w:pPr>
                    <w:jc w:val="center"/>
                    <w:rPr>
                      <w:rFonts w:ascii="Colonna MT" w:hAnsi="Colonna MT"/>
                      <w:b/>
                      <w:sz w:val="40"/>
                      <w:szCs w:val="40"/>
                    </w:rPr>
                  </w:pPr>
                  <w:r>
                    <w:rPr>
                      <w:rFonts w:ascii="Colonna MT" w:hAnsi="Colonna MT"/>
                      <w:b/>
                      <w:sz w:val="40"/>
                      <w:szCs w:val="40"/>
                    </w:rPr>
                    <w:t>P</w:t>
                  </w:r>
                </w:p>
              </w:txbxContent>
            </v:textbox>
            <w10:wrap anchorx="margin"/>
          </v:shape>
        </w:pict>
      </w:r>
      <w:r w:rsidR="008C56A8" w:rsidRPr="00F036C5">
        <w:t xml:space="preserve">L’énergie thermique et les rayonnements solaires </w:t>
      </w:r>
      <w:r w:rsidR="008C56A8">
        <w:t>servent</w:t>
      </w:r>
      <w:r w:rsidR="008C56A8" w:rsidRPr="00F036C5">
        <w:t xml:space="preserve"> à la </w:t>
      </w:r>
      <w:r w:rsidR="008C56A8" w:rsidRPr="00710D47">
        <w:t>purification de l’eau.</w:t>
      </w:r>
      <w:r w:rsidR="008C56A8" w:rsidRPr="00710D47">
        <w:rPr>
          <w:color w:val="990099"/>
        </w:rPr>
        <w:t xml:space="preserve"> </w:t>
      </w:r>
      <w:r w:rsidR="008C56A8">
        <w:rPr>
          <w:color w:val="00000A"/>
        </w:rPr>
        <w:t>Pour la désalinisation, l’eau est placée sous une vitre, orientée vers le soleil. En s’évaporant, l’eau se débarrasse du sel, des métaux-lourds et des microorganismes. La vitre est placée de façon à ce que l’eau s’y condense et s’écoule dans un récipient. Les rayonnements ultraviolets détruisent les organismes, ainsi la désinfection se fait aussi en plaçant l’eau dans des bouteilles en plastique perméable aux ultraviolets</w:t>
      </w:r>
      <w:r w:rsidR="008C56A8">
        <w:rPr>
          <w:rStyle w:val="Appelnotedebasdep"/>
          <w:color w:val="00000A"/>
        </w:rPr>
        <w:footnoteReference w:id="11"/>
      </w:r>
      <w:r w:rsidR="008C56A8">
        <w:rPr>
          <w:color w:val="00000A"/>
        </w:rPr>
        <w:t>.</w:t>
      </w:r>
    </w:p>
    <w:p w:rsidR="008C56A8" w:rsidRPr="00483978" w:rsidRDefault="00A454F2" w:rsidP="00ED01D5">
      <w:pPr>
        <w:pStyle w:val="Doc-titre5"/>
        <w:rPr>
          <w:b/>
          <w:color w:val="003399"/>
        </w:rPr>
      </w:pPr>
      <w:r w:rsidRPr="00A454F2">
        <w:rPr>
          <w:noProof/>
          <w:lang w:eastAsia="fr-FR" w:bidi="ar-SA"/>
        </w:rPr>
        <w:pict>
          <v:shape id="_x0000_s1490" type="#_x0000_t202" style="position:absolute;left:0;text-align:left;margin-left:-28.35pt;margin-top:6.55pt;width:27.7pt;height:44.85pt;z-index:252147712;mso-position-horizontal-relative:margin" fillcolor="#f33" strokeweight="1pt">
            <v:fill color2="#f60" rotate="t" angle="-90" focus="100%" type="gradient"/>
            <o:lock v:ext="edit" aspectratio="t"/>
            <v:textbox style="mso-next-textbox:#_x0000_s1490">
              <w:txbxContent>
                <w:p w:rsidR="009811EF" w:rsidRPr="00DD2F9B" w:rsidRDefault="009811EF" w:rsidP="002019B1">
                  <w:pPr>
                    <w:jc w:val="center"/>
                    <w:rPr>
                      <w:rFonts w:ascii="Colonna MT" w:hAnsi="Colonna MT"/>
                      <w:b/>
                      <w:sz w:val="40"/>
                      <w:szCs w:val="40"/>
                    </w:rPr>
                  </w:pPr>
                  <w:r>
                    <w:rPr>
                      <w:rFonts w:ascii="Colonna MT" w:hAnsi="Colonna MT"/>
                      <w:b/>
                      <w:sz w:val="40"/>
                      <w:szCs w:val="40"/>
                    </w:rPr>
                    <w:t>Z</w:t>
                  </w:r>
                </w:p>
              </w:txbxContent>
            </v:textbox>
            <w10:wrap anchorx="margin"/>
          </v:shape>
        </w:pict>
      </w:r>
      <w:r w:rsidR="008C56A8" w:rsidRPr="00483978">
        <w:rPr>
          <w:b/>
          <w:color w:val="003399"/>
        </w:rPr>
        <w:t>Energie éolienne</w:t>
      </w:r>
    </w:p>
    <w:tbl>
      <w:tblPr>
        <w:tblStyle w:val="Grilledutableau"/>
        <w:tblW w:w="141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780"/>
        <w:gridCol w:w="2170"/>
        <w:gridCol w:w="3402"/>
        <w:gridCol w:w="1984"/>
        <w:gridCol w:w="2268"/>
        <w:gridCol w:w="1288"/>
        <w:gridCol w:w="271"/>
      </w:tblGrid>
      <w:tr w:rsidR="008C56A8" w:rsidTr="007F263B">
        <w:trPr>
          <w:jc w:val="center"/>
        </w:trPr>
        <w:tc>
          <w:tcPr>
            <w:tcW w:w="2780" w:type="dxa"/>
            <w:vAlign w:val="center"/>
          </w:tcPr>
          <w:p w:rsidR="008C56A8" w:rsidRPr="00F171E1" w:rsidRDefault="008C56A8" w:rsidP="00F171E1">
            <w:pPr>
              <w:pStyle w:val="Doc-corpsdetexte"/>
              <w:spacing w:after="0"/>
              <w:ind w:firstLine="0"/>
              <w:rPr>
                <w:color w:val="008000"/>
                <w:kern w:val="24"/>
              </w:rPr>
            </w:pPr>
            <w:r w:rsidRPr="00F171E1">
              <w:rPr>
                <w:color w:val="008000"/>
              </w:rPr>
              <w:t>Energie nucléaire solaire</w:t>
            </w:r>
          </w:p>
        </w:tc>
        <w:tc>
          <w:tcPr>
            <w:tcW w:w="2170" w:type="dxa"/>
            <w:vAlign w:val="center"/>
          </w:tcPr>
          <w:p w:rsidR="008C56A8" w:rsidRPr="00F171E1" w:rsidRDefault="00A454F2" w:rsidP="00F171E1">
            <w:pPr>
              <w:pStyle w:val="Doc-corpsdetexte"/>
              <w:spacing w:after="0"/>
              <w:ind w:firstLine="0"/>
              <w:rPr>
                <w:color w:val="008000"/>
                <w:kern w:val="24"/>
              </w:rPr>
            </w:pPr>
            <w:r w:rsidRPr="00A454F2">
              <w:rPr>
                <w:noProof/>
                <w:color w:val="008000"/>
                <w:lang w:eastAsia="fr-FR" w:bidi="ar-SA"/>
              </w:rPr>
              <w:pict>
                <v:shape id="_x0000_s1432" type="#_x0000_t32" style="position:absolute;left:0;text-align:left;margin-left:94.1pt;margin-top:9.45pt;width:12.9pt;height:.05pt;z-index:252082176;mso-position-horizontal-relative:text;mso-position-vertical-relative:margin" o:connectortype="straight" strokecolor="green">
                  <v:stroke endarrow="block"/>
                  <w10:wrap anchory="margin"/>
                </v:shape>
              </w:pict>
            </w:r>
            <w:r w:rsidRPr="00A454F2">
              <w:rPr>
                <w:noProof/>
                <w:color w:val="008000"/>
                <w:lang w:eastAsia="fr-FR" w:bidi="ar-SA"/>
              </w:rPr>
              <w:pict>
                <v:shape id="_x0000_s1431" type="#_x0000_t32" style="position:absolute;left:0;text-align:left;margin-left:-14.75pt;margin-top:9.6pt;width:12.9pt;height:.05pt;z-index:252081152;mso-position-horizontal-relative:text;mso-position-vertical-relative:margin" o:connectortype="straight" strokecolor="green">
                  <v:stroke endarrow="block"/>
                  <w10:wrap anchory="margin"/>
                </v:shape>
              </w:pict>
            </w:r>
            <w:r w:rsidR="008C56A8" w:rsidRPr="00F171E1">
              <w:rPr>
                <w:color w:val="008000"/>
              </w:rPr>
              <w:t>Energie lumineuse</w:t>
            </w:r>
          </w:p>
        </w:tc>
        <w:tc>
          <w:tcPr>
            <w:tcW w:w="3402" w:type="dxa"/>
            <w:vAlign w:val="center"/>
          </w:tcPr>
          <w:p w:rsidR="008C56A8" w:rsidRPr="00F171E1" w:rsidRDefault="00A454F2" w:rsidP="00F171E1">
            <w:pPr>
              <w:pStyle w:val="Doc-corpsdetexte"/>
              <w:spacing w:after="0"/>
              <w:ind w:firstLine="0"/>
              <w:rPr>
                <w:color w:val="008000"/>
              </w:rPr>
            </w:pPr>
            <w:r w:rsidRPr="00A454F2">
              <w:rPr>
                <w:b/>
                <w:noProof/>
                <w:color w:val="008000"/>
                <w:lang w:eastAsia="fr-FR" w:bidi="ar-SA"/>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37" type="#_x0000_t86" style="position:absolute;left:0;text-align:left;margin-left:144.85pt;margin-top:1.1pt;width:7.3pt;height:36.65pt;z-index:252087296;mso-position-horizontal-relative:text;mso-position-vertical-relative:text" strokecolor="green"/>
              </w:pict>
            </w:r>
            <w:r w:rsidR="008C56A8" w:rsidRPr="00F171E1">
              <w:rPr>
                <w:color w:val="008000"/>
              </w:rPr>
              <w:t xml:space="preserve">Energie thermique </w:t>
            </w:r>
          </w:p>
        </w:tc>
        <w:tc>
          <w:tcPr>
            <w:tcW w:w="1984" w:type="dxa"/>
            <w:vMerge w:val="restart"/>
            <w:vAlign w:val="center"/>
          </w:tcPr>
          <w:p w:rsidR="008C56A8" w:rsidRPr="00F171E1" w:rsidRDefault="00A454F2" w:rsidP="00F171E1">
            <w:pPr>
              <w:pStyle w:val="Doc-corpsdetexte"/>
              <w:spacing w:after="0"/>
              <w:ind w:firstLine="0"/>
              <w:rPr>
                <w:color w:val="008000"/>
              </w:rPr>
            </w:pPr>
            <w:r>
              <w:rPr>
                <w:noProof/>
                <w:color w:val="008000"/>
                <w:lang w:eastAsia="fr-FR" w:bidi="ar-SA"/>
              </w:rPr>
              <w:pict>
                <v:shape id="_x0000_s1433" type="#_x0000_t32" style="position:absolute;left:0;text-align:left;margin-left:79.8pt;margin-top:11.1pt;width:12.9pt;height:.05pt;z-index:252083200;mso-position-horizontal-relative:text;mso-position-vertical-relative:text" o:connectortype="straight" strokecolor="#c00000">
                  <v:stroke endarrow="block"/>
                </v:shape>
              </w:pict>
            </w:r>
            <w:r w:rsidR="008C56A8" w:rsidRPr="00F171E1">
              <w:rPr>
                <w:color w:val="008000"/>
              </w:rPr>
              <w:t>Energie du vent</w:t>
            </w:r>
          </w:p>
        </w:tc>
        <w:tc>
          <w:tcPr>
            <w:tcW w:w="2268" w:type="dxa"/>
            <w:vMerge w:val="restart"/>
            <w:vAlign w:val="center"/>
          </w:tcPr>
          <w:p w:rsidR="008C56A8" w:rsidRPr="00F171E1" w:rsidRDefault="00A454F2" w:rsidP="00F171E1">
            <w:pPr>
              <w:pStyle w:val="Doc-corpsdetexte"/>
              <w:spacing w:after="0"/>
              <w:ind w:firstLine="0"/>
              <w:rPr>
                <w:color w:val="C00000"/>
              </w:rPr>
            </w:pPr>
            <w:r>
              <w:rPr>
                <w:noProof/>
                <w:color w:val="C00000"/>
                <w:lang w:eastAsia="fr-FR" w:bidi="ar-SA"/>
              </w:rPr>
              <w:pict>
                <v:shape id="_x0000_s1434" type="#_x0000_t32" style="position:absolute;left:0;text-align:left;margin-left:96.85pt;margin-top:10.7pt;width:12.9pt;height:.05pt;z-index:252084224;mso-position-horizontal-relative:text;mso-position-vertical-relative:text" o:connectortype="straight" strokecolor="#c00000">
                  <v:stroke endarrow="block"/>
                </v:shape>
              </w:pict>
            </w:r>
            <w:r w:rsidR="008C56A8" w:rsidRPr="00F171E1">
              <w:rPr>
                <w:color w:val="C00000"/>
              </w:rPr>
              <w:t>Energie mécanique</w:t>
            </w:r>
          </w:p>
        </w:tc>
        <w:tc>
          <w:tcPr>
            <w:tcW w:w="1288" w:type="dxa"/>
            <w:vMerge w:val="restart"/>
            <w:vAlign w:val="center"/>
          </w:tcPr>
          <w:p w:rsidR="008C56A8" w:rsidRPr="00F171E1" w:rsidRDefault="00A454F2" w:rsidP="00F171E1">
            <w:pPr>
              <w:pStyle w:val="Doc-corpsdetexte"/>
              <w:spacing w:after="0"/>
              <w:ind w:firstLine="0"/>
              <w:rPr>
                <w:color w:val="C00000"/>
              </w:rPr>
            </w:pPr>
            <w:r>
              <w:rPr>
                <w:noProof/>
                <w:color w:val="C00000"/>
                <w:lang w:eastAsia="fr-FR" w:bidi="ar-SA"/>
              </w:rPr>
              <w:pict>
                <v:shape id="_x0000_s1435" type="#_x0000_t32" style="position:absolute;left:0;text-align:left;margin-left:52.5pt;margin-top:10.6pt;width:12.9pt;height:.05pt;z-index:252085248;mso-position-horizontal-relative:text;mso-position-vertical-relative:text" o:connectortype="straight" strokecolor="#c00000">
                  <v:stroke endarrow="block"/>
                </v:shape>
              </w:pict>
            </w:r>
            <w:r w:rsidR="008C56A8" w:rsidRPr="00F171E1">
              <w:rPr>
                <w:color w:val="C00000"/>
              </w:rPr>
              <w:t>Electricité</w:t>
            </w:r>
          </w:p>
        </w:tc>
        <w:tc>
          <w:tcPr>
            <w:tcW w:w="271" w:type="dxa"/>
            <w:vMerge w:val="restart"/>
            <w:vAlign w:val="center"/>
          </w:tcPr>
          <w:p w:rsidR="008C56A8" w:rsidRPr="00F171E1" w:rsidRDefault="008C56A8" w:rsidP="00F171E1">
            <w:pPr>
              <w:pStyle w:val="Doc-corpsdetexte"/>
              <w:spacing w:after="0"/>
              <w:ind w:firstLine="0"/>
              <w:jc w:val="right"/>
              <w:rPr>
                <w:color w:val="C00000"/>
              </w:rPr>
            </w:pPr>
            <w:r w:rsidRPr="00F171E1">
              <w:rPr>
                <w:color w:val="C00000"/>
              </w:rPr>
              <w:t>…</w:t>
            </w:r>
          </w:p>
        </w:tc>
      </w:tr>
      <w:tr w:rsidR="00F171E1" w:rsidTr="007F263B">
        <w:trPr>
          <w:jc w:val="center"/>
        </w:trPr>
        <w:tc>
          <w:tcPr>
            <w:tcW w:w="2780" w:type="dxa"/>
            <w:vAlign w:val="center"/>
          </w:tcPr>
          <w:p w:rsidR="00F171E1" w:rsidRDefault="00F171E1" w:rsidP="00F171E1">
            <w:pPr>
              <w:pStyle w:val="Doc-corpsdetexte"/>
              <w:ind w:firstLine="0"/>
            </w:pPr>
          </w:p>
        </w:tc>
        <w:tc>
          <w:tcPr>
            <w:tcW w:w="2170" w:type="dxa"/>
            <w:vAlign w:val="center"/>
          </w:tcPr>
          <w:p w:rsidR="00F171E1" w:rsidRPr="00E7543D" w:rsidRDefault="00F171E1" w:rsidP="00F171E1">
            <w:pPr>
              <w:pStyle w:val="Doc-corpsdetexte"/>
              <w:ind w:firstLine="0"/>
              <w:rPr>
                <w:i/>
              </w:rPr>
            </w:pPr>
          </w:p>
        </w:tc>
        <w:tc>
          <w:tcPr>
            <w:tcW w:w="3402" w:type="dxa"/>
            <w:vAlign w:val="center"/>
          </w:tcPr>
          <w:p w:rsidR="00F171E1" w:rsidRPr="00F171E1" w:rsidRDefault="00A454F2" w:rsidP="00F171E1">
            <w:pPr>
              <w:pStyle w:val="Doc-corpsdetexte"/>
              <w:ind w:firstLine="0"/>
              <w:rPr>
                <w:i/>
                <w:color w:val="008000"/>
              </w:rPr>
            </w:pPr>
            <w:r w:rsidRPr="00A454F2">
              <w:rPr>
                <w:noProof/>
                <w:color w:val="008000"/>
                <w:lang w:eastAsia="fr-FR" w:bidi="ar-SA"/>
              </w:rPr>
              <w:pict>
                <v:shape id="_x0000_s1438" type="#_x0000_t32" style="position:absolute;left:0;text-align:left;margin-left:152.95pt;margin-top:.3pt;width:12.9pt;height:.05pt;z-index:252088320;mso-position-horizontal-relative:text;mso-position-vertical-relative:text" o:connectortype="straight" strokecolor="green">
                  <v:stroke endarrow="block"/>
                </v:shape>
              </w:pict>
            </w:r>
            <w:r w:rsidR="00F171E1" w:rsidRPr="00F171E1">
              <w:rPr>
                <w:color w:val="008000"/>
              </w:rPr>
              <w:t>Energie de rotation de la Terre</w:t>
            </w:r>
          </w:p>
        </w:tc>
        <w:tc>
          <w:tcPr>
            <w:tcW w:w="1984" w:type="dxa"/>
            <w:vMerge/>
            <w:vAlign w:val="center"/>
          </w:tcPr>
          <w:p w:rsidR="00F171E1" w:rsidRPr="00892670" w:rsidRDefault="00F171E1" w:rsidP="00F171E1">
            <w:pPr>
              <w:pStyle w:val="Doc-corpsdetexte"/>
              <w:ind w:firstLine="0"/>
            </w:pPr>
          </w:p>
        </w:tc>
        <w:tc>
          <w:tcPr>
            <w:tcW w:w="2268" w:type="dxa"/>
            <w:vMerge/>
            <w:vAlign w:val="center"/>
          </w:tcPr>
          <w:p w:rsidR="00F171E1" w:rsidRPr="00892670" w:rsidRDefault="00F171E1" w:rsidP="00F171E1">
            <w:pPr>
              <w:pStyle w:val="Doc-corpsdetexte"/>
              <w:ind w:firstLine="0"/>
            </w:pPr>
          </w:p>
        </w:tc>
        <w:tc>
          <w:tcPr>
            <w:tcW w:w="1288" w:type="dxa"/>
            <w:vMerge/>
            <w:vAlign w:val="center"/>
          </w:tcPr>
          <w:p w:rsidR="00F171E1" w:rsidRDefault="00F171E1" w:rsidP="00F171E1">
            <w:pPr>
              <w:pStyle w:val="Doc-corpsdetexte"/>
              <w:ind w:firstLine="0"/>
            </w:pPr>
          </w:p>
        </w:tc>
        <w:tc>
          <w:tcPr>
            <w:tcW w:w="271" w:type="dxa"/>
            <w:vMerge/>
            <w:vAlign w:val="center"/>
          </w:tcPr>
          <w:p w:rsidR="00F171E1" w:rsidRPr="00892670" w:rsidRDefault="00F171E1" w:rsidP="00F171E1">
            <w:pPr>
              <w:pStyle w:val="Doc-corpsdetexte"/>
              <w:ind w:firstLine="0"/>
            </w:pPr>
          </w:p>
        </w:tc>
      </w:tr>
    </w:tbl>
    <w:p w:rsidR="008C56A8" w:rsidRDefault="008C56A8" w:rsidP="009D7296">
      <w:pPr>
        <w:pStyle w:val="Doc-corpsdetexte"/>
      </w:pPr>
      <w:r>
        <w:t>L’énergie fournie à la turbine dépend de la densité du fluide qui l’entraîne. Pour une turbine de section identique, on peut comparer l’efficacité des éoliennes (turbines actionnées par le vent) et des hydroliennes (turbines actionnées par les courants d’eau – différent des éoliennes en mer) :</w:t>
      </w:r>
    </w:p>
    <w:p w:rsidR="008C56A8" w:rsidRDefault="008C56A8" w:rsidP="002019B1">
      <w:pPr>
        <w:pStyle w:val="Doc-corpsdetexte"/>
        <w:ind w:firstLine="0"/>
      </w:pPr>
      <w:r>
        <w:t>E</w:t>
      </w:r>
      <w:r w:rsidRPr="00494B39">
        <w:rPr>
          <w:vertAlign w:val="subscript"/>
        </w:rPr>
        <w:t>c</w:t>
      </w:r>
      <w:r>
        <w:t xml:space="preserve"> = ½ mv² avec  E</w:t>
      </w:r>
      <w:r w:rsidRPr="00494B39">
        <w:rPr>
          <w:vertAlign w:val="subscript"/>
        </w:rPr>
        <w:t>c </w:t>
      </w:r>
      <w:r>
        <w:t xml:space="preserve">: énergie cinétique, v : vitesse et m : masse, qui se décompose en m = </w:t>
      </w:r>
      <w:r w:rsidRPr="00102470">
        <w:rPr>
          <w:rFonts w:ascii="Symbol" w:hAnsi="Symbol"/>
        </w:rPr>
        <w:t></w:t>
      </w:r>
      <w:r>
        <w:t xml:space="preserve">Sv avec </w:t>
      </w:r>
      <w:r w:rsidRPr="00102470">
        <w:rPr>
          <w:rFonts w:ascii="Symbol" w:hAnsi="Symbol"/>
        </w:rPr>
        <w:t></w:t>
      </w:r>
      <w:r>
        <w:t> : masse volumique et S : section.</w:t>
      </w:r>
    </w:p>
    <w:p w:rsidR="008C56A8" w:rsidRPr="00DB1376" w:rsidRDefault="008C56A8" w:rsidP="002019B1">
      <w:pPr>
        <w:pStyle w:val="Doc-corpsdetexte"/>
        <w:ind w:firstLine="0"/>
      </w:pPr>
      <w:r>
        <w:t>Donc E</w:t>
      </w:r>
      <w:r w:rsidRPr="00AD5B71">
        <w:rPr>
          <w:vertAlign w:val="subscript"/>
        </w:rPr>
        <w:t>c</w:t>
      </w:r>
      <w:r>
        <w:t xml:space="preserve"> = ½ </w:t>
      </w:r>
      <w:r w:rsidRPr="00102470">
        <w:rPr>
          <w:rFonts w:ascii="Symbol" w:hAnsi="Symbol"/>
        </w:rPr>
        <w:t></w:t>
      </w:r>
      <w:r>
        <w:t>Sv</w:t>
      </w:r>
      <w:r w:rsidRPr="00494B39">
        <w:rPr>
          <w:vertAlign w:val="superscript"/>
        </w:rPr>
        <w:t>3</w:t>
      </w:r>
      <w:r>
        <w:tab/>
      </w:r>
      <w:r w:rsidRPr="00102470">
        <w:rPr>
          <w:rFonts w:ascii="Symbol" w:hAnsi="Symbol"/>
        </w:rPr>
        <w:t></w:t>
      </w:r>
      <w:r w:rsidRPr="00494B39">
        <w:rPr>
          <w:vertAlign w:val="subscript"/>
        </w:rPr>
        <w:t>air</w:t>
      </w:r>
      <w:r>
        <w:t xml:space="preserve"> = 1,29 </w:t>
      </w:r>
      <w:r w:rsidRPr="00DB1376">
        <w:t>kg/m</w:t>
      </w:r>
      <w:r w:rsidRPr="00494B39">
        <w:rPr>
          <w:vertAlign w:val="superscript"/>
        </w:rPr>
        <w:t>3</w:t>
      </w:r>
      <w:r w:rsidRPr="00DB1376">
        <w:tab/>
      </w:r>
      <w:r w:rsidRPr="00102470">
        <w:rPr>
          <w:rFonts w:ascii="Symbol" w:hAnsi="Symbol"/>
        </w:rPr>
        <w:t></w:t>
      </w:r>
      <w:r w:rsidRPr="00494B39">
        <w:rPr>
          <w:vertAlign w:val="subscript"/>
        </w:rPr>
        <w:t>eau</w:t>
      </w:r>
      <w:r>
        <w:t xml:space="preserve"> = 1000 </w:t>
      </w:r>
      <w:r w:rsidRPr="00DB1376">
        <w:t>kg/m</w:t>
      </w:r>
      <w:r w:rsidRPr="00494B39">
        <w:rPr>
          <w:vertAlign w:val="superscript"/>
        </w:rPr>
        <w:t>3</w:t>
      </w:r>
      <w:r w:rsidRPr="00DB1376">
        <w:tab/>
      </w:r>
      <w:r w:rsidRPr="00102470">
        <w:rPr>
          <w:rFonts w:ascii="Symbol" w:hAnsi="Symbol"/>
        </w:rPr>
        <w:t></w:t>
      </w:r>
      <w:r w:rsidRPr="00494B39">
        <w:rPr>
          <w:vertAlign w:val="subscript"/>
        </w:rPr>
        <w:t>eau salée</w:t>
      </w:r>
      <w:r w:rsidRPr="00DB1376">
        <w:t xml:space="preserve"> = 1030</w:t>
      </w:r>
      <w:r>
        <w:t> </w:t>
      </w:r>
      <w:r w:rsidRPr="00DB1376">
        <w:t>kg/m</w:t>
      </w:r>
      <w:r w:rsidRPr="00494B39">
        <w:rPr>
          <w:vertAlign w:val="superscript"/>
        </w:rPr>
        <w:t>3</w:t>
      </w:r>
      <w:r>
        <w:t xml:space="preserve"> </w:t>
      </w:r>
    </w:p>
    <w:p w:rsidR="008C56A8" w:rsidRPr="00DB1376" w:rsidRDefault="008C56A8" w:rsidP="009D7296">
      <w:pPr>
        <w:pStyle w:val="Doc-corpsdetexte"/>
      </w:pPr>
      <w:r>
        <w:lastRenderedPageBreak/>
        <w:t>L’air étant environ 800 fois moins dense que l’eau de mer, un courant marin de 15 km/h fournit la même énergie qu’un vent de 140 km/h pour une turbine de même section. Le faible rendement des éoliennes impose de les regrouper en parcs et de les construire avec la plus grande section possible, donc de longues pales.</w:t>
      </w:r>
    </w:p>
    <w:p w:rsidR="008C56A8" w:rsidRPr="002D40D1" w:rsidRDefault="00A454F2" w:rsidP="00ED01D5">
      <w:pPr>
        <w:pStyle w:val="Doc-titre5"/>
        <w:rPr>
          <w:b/>
          <w:color w:val="003399"/>
        </w:rPr>
      </w:pPr>
      <w:r w:rsidRPr="00A454F2">
        <w:rPr>
          <w:noProof/>
          <w:lang w:eastAsia="fr-FR" w:bidi="ar-SA"/>
        </w:rPr>
        <w:pict>
          <v:shape id="_x0000_s1494" type="#_x0000_t202" style="position:absolute;left:0;text-align:left;margin-left:-28.35pt;margin-top:6.6pt;width:27.7pt;height:44.85pt;z-index:252150784;mso-position-horizontal-relative:margin" fillcolor="#c30" strokeweight="1pt">
            <v:fill color2="#c60" rotate="t" angle="-90" focus="100%" type="gradient"/>
            <o:lock v:ext="edit" aspectratio="t"/>
            <v:textbox style="mso-next-textbox:#_x0000_s1494">
              <w:txbxContent>
                <w:p w:rsidR="009811EF" w:rsidRPr="00DD2F9B" w:rsidRDefault="009811EF" w:rsidP="001C421C">
                  <w:pPr>
                    <w:jc w:val="center"/>
                    <w:rPr>
                      <w:rFonts w:ascii="Colonna MT" w:hAnsi="Colonna MT"/>
                      <w:b/>
                      <w:sz w:val="40"/>
                      <w:szCs w:val="40"/>
                    </w:rPr>
                  </w:pPr>
                  <w:r>
                    <w:rPr>
                      <w:rFonts w:ascii="Colonna MT" w:hAnsi="Colonna MT"/>
                      <w:b/>
                      <w:sz w:val="40"/>
                      <w:szCs w:val="40"/>
                    </w:rPr>
                    <w:t>L</w:t>
                  </w:r>
                </w:p>
              </w:txbxContent>
            </v:textbox>
            <w10:wrap anchorx="margin"/>
          </v:shape>
        </w:pict>
      </w:r>
      <w:r w:rsidR="008C56A8" w:rsidRPr="002D40D1">
        <w:rPr>
          <w:b/>
          <w:color w:val="003399"/>
        </w:rPr>
        <w:t>Energie hydraulique</w:t>
      </w:r>
    </w:p>
    <w:tbl>
      <w:tblPr>
        <w:tblStyle w:val="Grilledutableau"/>
        <w:tblW w:w="12934" w:type="dxa"/>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835"/>
        <w:gridCol w:w="2284"/>
        <w:gridCol w:w="3561"/>
        <w:gridCol w:w="1560"/>
        <w:gridCol w:w="708"/>
        <w:gridCol w:w="1417"/>
        <w:gridCol w:w="550"/>
        <w:gridCol w:w="19"/>
      </w:tblGrid>
      <w:tr w:rsidR="008C56A8" w:rsidTr="00910D73">
        <w:trPr>
          <w:gridAfter w:val="1"/>
          <w:wAfter w:w="19" w:type="dxa"/>
          <w:jc w:val="center"/>
        </w:trPr>
        <w:tc>
          <w:tcPr>
            <w:tcW w:w="2835" w:type="dxa"/>
            <w:vAlign w:val="center"/>
          </w:tcPr>
          <w:p w:rsidR="008C56A8" w:rsidRPr="00910D73" w:rsidRDefault="00A454F2" w:rsidP="001A0014">
            <w:pPr>
              <w:pStyle w:val="Doc-corpsdetexte"/>
              <w:spacing w:after="0"/>
              <w:ind w:firstLine="0"/>
              <w:rPr>
                <w:color w:val="008000"/>
                <w:kern w:val="24"/>
              </w:rPr>
            </w:pPr>
            <w:r w:rsidRPr="00A454F2">
              <w:rPr>
                <w:noProof/>
                <w:color w:val="008000"/>
                <w:lang w:eastAsia="fr-FR" w:bidi="ar-SA"/>
              </w:rPr>
              <w:pict>
                <v:shape id="_x0000_s1426" type="#_x0000_t32" style="position:absolute;left:0;text-align:left;margin-left:124.35pt;margin-top:9.9pt;width:12.9pt;height:.05pt;z-index:252076032" o:connectortype="straight" strokecolor="green">
                  <v:stroke endarrow="block"/>
                </v:shape>
              </w:pict>
            </w:r>
            <w:r w:rsidR="008C56A8" w:rsidRPr="00910D73">
              <w:rPr>
                <w:color w:val="008000"/>
              </w:rPr>
              <w:t>Energie nucléaire solaire</w:t>
            </w:r>
          </w:p>
        </w:tc>
        <w:tc>
          <w:tcPr>
            <w:tcW w:w="2284" w:type="dxa"/>
            <w:vAlign w:val="center"/>
          </w:tcPr>
          <w:p w:rsidR="008C56A8" w:rsidRPr="00910D73" w:rsidRDefault="00A454F2" w:rsidP="001A0014">
            <w:pPr>
              <w:pStyle w:val="Doc-corpsdetexte"/>
              <w:spacing w:after="0"/>
              <w:ind w:firstLine="0"/>
              <w:rPr>
                <w:color w:val="008000"/>
                <w:kern w:val="24"/>
              </w:rPr>
            </w:pPr>
            <w:r w:rsidRPr="00A454F2">
              <w:rPr>
                <w:noProof/>
                <w:color w:val="008000"/>
                <w:lang w:eastAsia="fr-FR" w:bidi="ar-SA"/>
              </w:rPr>
              <w:pict>
                <v:shape id="_x0000_s1427" type="#_x0000_t32" style="position:absolute;left:0;text-align:left;margin-left:92.65pt;margin-top:9.9pt;width:12.9pt;height:.05pt;z-index:252077056;mso-position-horizontal-relative:text;mso-position-vertical-relative:text" o:connectortype="straight" strokecolor="green">
                  <v:stroke endarrow="block"/>
                </v:shape>
              </w:pict>
            </w:r>
            <w:r w:rsidR="008C56A8" w:rsidRPr="00910D73">
              <w:rPr>
                <w:color w:val="008000"/>
              </w:rPr>
              <w:t xml:space="preserve">Energie lumineuse </w:t>
            </w:r>
          </w:p>
        </w:tc>
        <w:tc>
          <w:tcPr>
            <w:tcW w:w="5121" w:type="dxa"/>
            <w:gridSpan w:val="2"/>
          </w:tcPr>
          <w:p w:rsidR="008C56A8" w:rsidRPr="00910D73" w:rsidRDefault="00A454F2" w:rsidP="001A0014">
            <w:pPr>
              <w:pStyle w:val="Doc-corpsdetexte"/>
              <w:spacing w:after="0"/>
              <w:ind w:firstLine="0"/>
              <w:rPr>
                <w:color w:val="008000"/>
              </w:rPr>
            </w:pPr>
            <w:r>
              <w:rPr>
                <w:noProof/>
                <w:color w:val="008000"/>
                <w:lang w:eastAsia="fr-FR" w:bidi="ar-SA"/>
              </w:rPr>
              <w:pict>
                <v:shape id="_x0000_s1430" type="#_x0000_t32" style="position:absolute;left:0;text-align:left;margin-left:95.9pt;margin-top:10.05pt;width:157.1pt;height:0;z-index:252080128;mso-position-horizontal-relative:text;mso-position-vertical-relative:text" o:connectortype="straight" strokecolor="green">
                  <v:stroke endarrow="block"/>
                </v:shape>
              </w:pict>
            </w:r>
            <w:r w:rsidR="008C56A8" w:rsidRPr="00910D73">
              <w:rPr>
                <w:color w:val="008000"/>
              </w:rPr>
              <w:t xml:space="preserve">Energie thermique </w:t>
            </w:r>
          </w:p>
        </w:tc>
        <w:tc>
          <w:tcPr>
            <w:tcW w:w="2675" w:type="dxa"/>
            <w:gridSpan w:val="3"/>
          </w:tcPr>
          <w:p w:rsidR="008C56A8" w:rsidRPr="00910D73" w:rsidRDefault="00A454F2" w:rsidP="001A0014">
            <w:pPr>
              <w:pStyle w:val="Doc-corpsdetexte"/>
              <w:spacing w:after="0"/>
              <w:ind w:firstLine="0"/>
              <w:rPr>
                <w:color w:val="008000"/>
              </w:rPr>
            </w:pPr>
            <w:r>
              <w:rPr>
                <w:noProof/>
                <w:color w:val="008000"/>
                <w:lang w:eastAsia="fr-FR" w:bidi="ar-SA"/>
              </w:rPr>
              <w:pict>
                <v:shape id="_x0000_s1428" type="#_x0000_t32" style="position:absolute;left:0;text-align:left;margin-left:109.25pt;margin-top:10.05pt;width:17.35pt;height:.05pt;z-index:252078080;mso-position-horizontal-relative:text;mso-position-vertical-relative:text" o:connectortype="straight" strokecolor="green">
                  <v:stroke dashstyle="dash"/>
                </v:shape>
              </w:pict>
            </w:r>
            <w:r w:rsidR="008C56A8" w:rsidRPr="00910D73">
              <w:rPr>
                <w:color w:val="008000"/>
              </w:rPr>
              <w:t>Energie de gravitation</w:t>
            </w:r>
          </w:p>
        </w:tc>
      </w:tr>
      <w:tr w:rsidR="008C56A8" w:rsidTr="00910D73">
        <w:trPr>
          <w:gridAfter w:val="1"/>
          <w:wAfter w:w="19" w:type="dxa"/>
          <w:jc w:val="center"/>
        </w:trPr>
        <w:tc>
          <w:tcPr>
            <w:tcW w:w="2835" w:type="dxa"/>
            <w:vAlign w:val="center"/>
          </w:tcPr>
          <w:p w:rsidR="008C56A8" w:rsidRDefault="008C56A8" w:rsidP="001A0014">
            <w:pPr>
              <w:pStyle w:val="Doc-corpsdetexte"/>
              <w:spacing w:after="0"/>
              <w:ind w:firstLine="0"/>
            </w:pPr>
          </w:p>
        </w:tc>
        <w:tc>
          <w:tcPr>
            <w:tcW w:w="2284" w:type="dxa"/>
            <w:vAlign w:val="center"/>
          </w:tcPr>
          <w:p w:rsidR="008C56A8" w:rsidRPr="00A40236" w:rsidRDefault="008C56A8" w:rsidP="001A0014">
            <w:pPr>
              <w:pStyle w:val="Doc-corpsdetexte"/>
              <w:spacing w:after="0"/>
              <w:ind w:firstLine="0"/>
            </w:pPr>
          </w:p>
        </w:tc>
        <w:tc>
          <w:tcPr>
            <w:tcW w:w="7796" w:type="dxa"/>
            <w:gridSpan w:val="5"/>
          </w:tcPr>
          <w:p w:rsidR="008C56A8" w:rsidRPr="00910D73" w:rsidRDefault="008C56A8" w:rsidP="001A0014">
            <w:pPr>
              <w:pStyle w:val="Doc-corpsdetexte"/>
              <w:spacing w:after="0"/>
              <w:ind w:firstLine="0"/>
              <w:rPr>
                <w:i/>
              </w:rPr>
            </w:pPr>
            <w:r w:rsidRPr="00910D73">
              <w:rPr>
                <w:i/>
              </w:rPr>
              <w:t>Evaporation de l’eau des océans, qui se re-déverse  en pluie dans les cours d’eau</w:t>
            </w:r>
          </w:p>
        </w:tc>
      </w:tr>
      <w:tr w:rsidR="00910D73" w:rsidTr="00910D73">
        <w:trPr>
          <w:jc w:val="center"/>
        </w:trPr>
        <w:tc>
          <w:tcPr>
            <w:tcW w:w="8680" w:type="dxa"/>
            <w:gridSpan w:val="3"/>
            <w:vAlign w:val="center"/>
          </w:tcPr>
          <w:p w:rsidR="008C56A8" w:rsidRPr="006C0488" w:rsidRDefault="00A454F2" w:rsidP="001A0014">
            <w:pPr>
              <w:pStyle w:val="Doc-corpsdetexte"/>
              <w:ind w:firstLine="0"/>
              <w:jc w:val="right"/>
            </w:pPr>
            <w:r w:rsidRPr="00A454F2">
              <w:rPr>
                <w:noProof/>
                <w:color w:val="008000"/>
                <w:lang w:eastAsia="fr-FR" w:bidi="ar-SA"/>
              </w:rPr>
              <w:pict>
                <v:shape id="_x0000_s1493" type="#_x0000_t32" style="position:absolute;left:0;text-align:left;margin-left:137.3pt;margin-top:9.8pt;width:17.35pt;height:.05pt;z-index:252149760;mso-position-horizontal-relative:text;mso-position-vertical-relative:text" o:connectortype="straight" strokecolor="green">
                  <v:stroke dashstyle="dash"/>
                </v:shape>
              </w:pict>
            </w:r>
            <w:r w:rsidRPr="00A454F2">
              <w:rPr>
                <w:noProof/>
                <w:color w:val="008000"/>
                <w:lang w:eastAsia="fr-FR" w:bidi="ar-SA"/>
              </w:rPr>
              <w:pict>
                <v:shape id="_x0000_s1424" type="#_x0000_t32" style="position:absolute;left:0;text-align:left;margin-left:154.7pt;margin-top:9.8pt;width:12.9pt;height:.05pt;z-index:252073984;mso-position-horizontal-relative:text;mso-position-vertical-relative:text" o:connectortype="straight" strokecolor="green">
                  <v:stroke endarrow="block"/>
                </v:shape>
              </w:pict>
            </w:r>
            <w:r w:rsidR="008C56A8" w:rsidRPr="00910D73">
              <w:rPr>
                <w:color w:val="008000"/>
              </w:rPr>
              <w:t>Energie d’un cours d’eau</w:t>
            </w:r>
            <w:r w:rsidR="008C56A8" w:rsidRPr="006C0488">
              <w:t xml:space="preserve"> </w:t>
            </w:r>
            <w:r w:rsidR="008C56A8" w:rsidRPr="00E1313E">
              <w:t>ou</w:t>
            </w:r>
            <w:r w:rsidR="008C56A8">
              <w:t xml:space="preserve"> </w:t>
            </w:r>
            <w:r w:rsidR="008C56A8" w:rsidRPr="00910D73">
              <w:rPr>
                <w:color w:val="C00000"/>
              </w:rPr>
              <w:t>énergie d’une chute d’eau</w:t>
            </w:r>
          </w:p>
        </w:tc>
        <w:tc>
          <w:tcPr>
            <w:tcW w:w="2268" w:type="dxa"/>
            <w:gridSpan w:val="2"/>
          </w:tcPr>
          <w:p w:rsidR="008C56A8" w:rsidRPr="00910D73" w:rsidRDefault="00A454F2" w:rsidP="001A0014">
            <w:pPr>
              <w:pStyle w:val="Doc-corpsdetexte"/>
              <w:ind w:firstLine="0"/>
              <w:jc w:val="right"/>
              <w:rPr>
                <w:color w:val="C00000"/>
              </w:rPr>
            </w:pPr>
            <w:r>
              <w:rPr>
                <w:noProof/>
                <w:color w:val="C00000"/>
                <w:lang w:eastAsia="fr-FR" w:bidi="ar-SA"/>
              </w:rPr>
              <w:pict>
                <v:shape id="_x0000_s1423" type="#_x0000_t32" style="position:absolute;left:0;text-align:left;margin-left:2.8pt;margin-top:10.05pt;width:12.9pt;height:.05pt;z-index:252072960;mso-position-horizontal-relative:text;mso-position-vertical-relative:text" o:connectortype="straight" strokecolor="#c00000">
                  <v:stroke endarrow="block"/>
                </v:shape>
              </w:pict>
            </w:r>
            <w:r w:rsidR="008C56A8" w:rsidRPr="00910D73">
              <w:rPr>
                <w:color w:val="C00000"/>
              </w:rPr>
              <w:t>Energie mécanique</w:t>
            </w:r>
          </w:p>
        </w:tc>
        <w:tc>
          <w:tcPr>
            <w:tcW w:w="1417" w:type="dxa"/>
          </w:tcPr>
          <w:p w:rsidR="008C56A8" w:rsidRPr="00910D73" w:rsidRDefault="00A454F2" w:rsidP="001A0014">
            <w:pPr>
              <w:pStyle w:val="Doc-corpsdetexte"/>
              <w:ind w:firstLine="0"/>
              <w:jc w:val="right"/>
              <w:rPr>
                <w:color w:val="C00000"/>
              </w:rPr>
            </w:pPr>
            <w:r>
              <w:rPr>
                <w:noProof/>
                <w:color w:val="C00000"/>
                <w:lang w:eastAsia="fr-FR" w:bidi="ar-SA"/>
              </w:rPr>
              <w:pict>
                <v:shape id="_x0000_s1425" type="#_x0000_t32" style="position:absolute;left:0;text-align:left;margin-left:1.85pt;margin-top:9.85pt;width:12.9pt;height:.05pt;z-index:252075008;mso-position-horizontal-relative:text;mso-position-vertical-relative:text" o:connectortype="straight" strokecolor="#c00000">
                  <v:stroke endarrow="block"/>
                </v:shape>
              </w:pict>
            </w:r>
            <w:r w:rsidR="008C56A8" w:rsidRPr="00910D73">
              <w:rPr>
                <w:color w:val="C00000"/>
              </w:rPr>
              <w:t>Electricité</w:t>
            </w:r>
          </w:p>
        </w:tc>
        <w:tc>
          <w:tcPr>
            <w:tcW w:w="569" w:type="dxa"/>
            <w:gridSpan w:val="2"/>
          </w:tcPr>
          <w:p w:rsidR="008C56A8" w:rsidRPr="00910D73" w:rsidRDefault="00A454F2" w:rsidP="001A0014">
            <w:pPr>
              <w:pStyle w:val="Doc-corpsdetexte"/>
              <w:ind w:firstLine="0"/>
              <w:jc w:val="right"/>
              <w:rPr>
                <w:color w:val="C00000"/>
              </w:rPr>
            </w:pPr>
            <w:r>
              <w:rPr>
                <w:noProof/>
                <w:color w:val="C00000"/>
                <w:lang w:eastAsia="fr-FR" w:bidi="ar-SA"/>
              </w:rPr>
              <w:pict>
                <v:shape id="_x0000_s1429" type="#_x0000_t32" style="position:absolute;left:0;text-align:left;margin-left:3.65pt;margin-top:10pt;width:12.9pt;height:.05pt;z-index:252079104;mso-position-horizontal-relative:text;mso-position-vertical-relative:text" o:connectortype="straight" strokecolor="#c00000">
                  <v:stroke endarrow="block"/>
                </v:shape>
              </w:pict>
            </w:r>
            <w:r w:rsidR="008C56A8" w:rsidRPr="00910D73">
              <w:rPr>
                <w:color w:val="C00000"/>
              </w:rPr>
              <w:t>…</w:t>
            </w:r>
          </w:p>
        </w:tc>
      </w:tr>
    </w:tbl>
    <w:p w:rsidR="008C56A8" w:rsidRDefault="008C56A8" w:rsidP="009D7296">
      <w:pPr>
        <w:pStyle w:val="Doc-corpsdetexte"/>
      </w:pPr>
      <w:r>
        <w:t xml:space="preserve">Théoriquement, toute l’énergie potentielle disponible à la source est transformée en énergie cinétique, récupérable au bas du cours d’eau. Mais dans les fleuves et rivières, une grande partie de l’énergie est perdue à cause des frottements et </w:t>
      </w:r>
      <w:r w:rsidR="007C59E8">
        <w:t xml:space="preserve">des </w:t>
      </w:r>
      <w:r>
        <w:t xml:space="preserve">turbulences. Dans les barrages, grâce aux conduites forcées qui limitent les pertes, </w:t>
      </w:r>
      <w:r w:rsidR="001C421C">
        <w:t>l’</w:t>
      </w:r>
      <w:r>
        <w:t>énergie potentielle est quasi totalement convertie en énergie cinétique lors de la chute.</w:t>
      </w:r>
    </w:p>
    <w:p w:rsidR="008C56A8" w:rsidRPr="002D40D1" w:rsidRDefault="00A454F2" w:rsidP="00ED01D5">
      <w:pPr>
        <w:pStyle w:val="Doc-titre5"/>
        <w:rPr>
          <w:b/>
          <w:color w:val="003399"/>
        </w:rPr>
      </w:pPr>
      <w:r w:rsidRPr="00A454F2">
        <w:rPr>
          <w:noProof/>
          <w:lang w:eastAsia="fr-FR" w:bidi="ar-SA"/>
        </w:rPr>
        <w:pict>
          <v:shape id="_x0000_s1580" type="#_x0000_t202" style="position:absolute;left:0;text-align:left;margin-left:-28.35pt;margin-top:5.9pt;width:27.7pt;height:44.85pt;z-index:252219392;mso-position-horizontal-relative:margin" fillcolor="#6f9" strokeweight="1pt">
            <v:fill color2="olive" rotate="t" angle="-90" focus="100%" type="gradient"/>
            <o:lock v:ext="edit" aspectratio="t"/>
            <v:textbox style="mso-next-textbox:#_x0000_s1580">
              <w:txbxContent>
                <w:p w:rsidR="009811EF" w:rsidRPr="00DD2F9B" w:rsidRDefault="009811EF" w:rsidP="00351B29">
                  <w:pPr>
                    <w:jc w:val="center"/>
                    <w:rPr>
                      <w:rFonts w:ascii="Colonna MT" w:hAnsi="Colonna MT"/>
                      <w:b/>
                      <w:sz w:val="40"/>
                      <w:szCs w:val="40"/>
                    </w:rPr>
                  </w:pPr>
                  <w:r>
                    <w:rPr>
                      <w:rFonts w:ascii="Colonna MT" w:hAnsi="Colonna MT"/>
                      <w:b/>
                      <w:sz w:val="40"/>
                      <w:szCs w:val="40"/>
                    </w:rPr>
                    <w:t>O</w:t>
                  </w:r>
                </w:p>
              </w:txbxContent>
            </v:textbox>
            <w10:wrap anchorx="margin"/>
          </v:shape>
        </w:pict>
      </w:r>
      <w:r w:rsidR="008C56A8" w:rsidRPr="002D40D1">
        <w:rPr>
          <w:b/>
          <w:color w:val="003399"/>
        </w:rPr>
        <w:t>Energie marémotrice</w:t>
      </w:r>
    </w:p>
    <w:tbl>
      <w:tblPr>
        <w:tblStyle w:val="Grilledutableau"/>
        <w:tblW w:w="9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816"/>
        <w:gridCol w:w="2268"/>
        <w:gridCol w:w="2268"/>
        <w:gridCol w:w="1276"/>
        <w:gridCol w:w="305"/>
      </w:tblGrid>
      <w:tr w:rsidR="00DF1F00" w:rsidTr="00DF1F00">
        <w:trPr>
          <w:jc w:val="center"/>
        </w:trPr>
        <w:tc>
          <w:tcPr>
            <w:tcW w:w="3816" w:type="dxa"/>
            <w:vAlign w:val="center"/>
          </w:tcPr>
          <w:p w:rsidR="00DF1F00" w:rsidRPr="00DF1F00" w:rsidRDefault="00A454F2" w:rsidP="007F263B">
            <w:pPr>
              <w:pStyle w:val="Doc-corpsdetexte"/>
              <w:spacing w:after="0"/>
              <w:ind w:firstLine="0"/>
              <w:rPr>
                <w:color w:val="008000"/>
                <w:kern w:val="24"/>
              </w:rPr>
            </w:pPr>
            <w:r w:rsidRPr="00A454F2">
              <w:rPr>
                <w:b/>
                <w:noProof/>
                <w:color w:val="008000"/>
                <w:lang w:eastAsia="fr-FR" w:bidi="ar-SA"/>
              </w:rPr>
              <w:pict>
                <v:shape id="_x0000_s1577" type="#_x0000_t86" style="position:absolute;left:0;text-align:left;margin-left:162.7pt;margin-top:.75pt;width:7.15pt;height:32.5pt;z-index:252216320" strokecolor="green"/>
              </w:pict>
            </w:r>
            <w:r w:rsidR="00DF1F00" w:rsidRPr="00DF1F00">
              <w:rPr>
                <w:color w:val="008000"/>
              </w:rPr>
              <w:t>Energie de gravitation de la Lune</w:t>
            </w:r>
          </w:p>
        </w:tc>
        <w:tc>
          <w:tcPr>
            <w:tcW w:w="2268" w:type="dxa"/>
            <w:vMerge w:val="restart"/>
            <w:vAlign w:val="center"/>
          </w:tcPr>
          <w:p w:rsidR="00DF1F00" w:rsidRPr="00DF1F00" w:rsidRDefault="00A454F2" w:rsidP="00DF1F00">
            <w:pPr>
              <w:pStyle w:val="Doc-corpsdetexte"/>
              <w:spacing w:after="0"/>
              <w:ind w:firstLine="0"/>
              <w:jc w:val="left"/>
              <w:rPr>
                <w:color w:val="008000"/>
                <w:kern w:val="24"/>
              </w:rPr>
            </w:pPr>
            <w:r w:rsidRPr="00A454F2">
              <w:rPr>
                <w:noProof/>
                <w:color w:val="008000"/>
                <w:lang w:eastAsia="fr-FR" w:bidi="ar-SA"/>
              </w:rPr>
              <w:pict>
                <v:shape id="_x0000_s1579" type="#_x0000_t32" style="position:absolute;margin-left:98.25pt;margin-top:11.25pt;width:12.9pt;height:.05pt;z-index:252218368;mso-position-horizontal-relative:text;mso-position-vertical-relative:text" o:connectortype="straight" strokecolor="#c00000">
                  <v:stroke endarrow="block"/>
                </v:shape>
              </w:pict>
            </w:r>
            <w:r w:rsidR="00DF1F00" w:rsidRPr="00DF1F00">
              <w:rPr>
                <w:color w:val="008000"/>
              </w:rPr>
              <w:t>Energie des marées</w:t>
            </w:r>
          </w:p>
        </w:tc>
        <w:tc>
          <w:tcPr>
            <w:tcW w:w="2268" w:type="dxa"/>
            <w:vMerge w:val="restart"/>
            <w:vAlign w:val="center"/>
          </w:tcPr>
          <w:p w:rsidR="00DF1F00" w:rsidRPr="00DF1F00" w:rsidRDefault="00A454F2" w:rsidP="007F263B">
            <w:pPr>
              <w:pStyle w:val="Doc-corpsdetexte"/>
              <w:spacing w:after="0"/>
              <w:ind w:firstLine="0"/>
              <w:rPr>
                <w:color w:val="C00000"/>
              </w:rPr>
            </w:pPr>
            <w:r>
              <w:rPr>
                <w:noProof/>
                <w:color w:val="C00000"/>
                <w:lang w:eastAsia="fr-FR" w:bidi="ar-SA"/>
              </w:rPr>
              <w:pict>
                <v:shape id="_x0000_s1575" type="#_x0000_t32" style="position:absolute;left:0;text-align:left;margin-left:97.55pt;margin-top:11.8pt;width:12.9pt;height:.05pt;z-index:252214272;mso-position-horizontal-relative:text;mso-position-vertical-relative:text" o:connectortype="straight" strokecolor="#c00000">
                  <v:stroke endarrow="block"/>
                </v:shape>
              </w:pict>
            </w:r>
            <w:r w:rsidR="00DF1F00" w:rsidRPr="00DF1F00">
              <w:rPr>
                <w:color w:val="C00000"/>
              </w:rPr>
              <w:t>Energie mécanique</w:t>
            </w:r>
          </w:p>
        </w:tc>
        <w:tc>
          <w:tcPr>
            <w:tcW w:w="1276" w:type="dxa"/>
            <w:vMerge w:val="restart"/>
            <w:vAlign w:val="center"/>
          </w:tcPr>
          <w:p w:rsidR="00DF1F00" w:rsidRPr="00DF1F00" w:rsidRDefault="00A454F2" w:rsidP="007F263B">
            <w:pPr>
              <w:pStyle w:val="Doc-corpsdetexte"/>
              <w:spacing w:after="0"/>
              <w:ind w:firstLine="0"/>
              <w:rPr>
                <w:color w:val="C00000"/>
              </w:rPr>
            </w:pPr>
            <w:r>
              <w:rPr>
                <w:noProof/>
                <w:color w:val="C00000"/>
                <w:lang w:eastAsia="fr-FR" w:bidi="ar-SA"/>
              </w:rPr>
              <w:pict>
                <v:shape id="_x0000_s1576" type="#_x0000_t32" style="position:absolute;left:0;text-align:left;margin-left:52.7pt;margin-top:10.85pt;width:12.9pt;height:.05pt;z-index:252215296;mso-position-horizontal-relative:text;mso-position-vertical-relative:text" o:connectortype="straight" strokecolor="#c00000">
                  <v:stroke endarrow="block"/>
                </v:shape>
              </w:pict>
            </w:r>
            <w:r w:rsidR="00DF1F00" w:rsidRPr="00DF1F00">
              <w:rPr>
                <w:color w:val="C00000"/>
              </w:rPr>
              <w:t>Electricité</w:t>
            </w:r>
          </w:p>
        </w:tc>
        <w:tc>
          <w:tcPr>
            <w:tcW w:w="305" w:type="dxa"/>
            <w:vMerge w:val="restart"/>
            <w:vAlign w:val="center"/>
          </w:tcPr>
          <w:p w:rsidR="00DF1F00" w:rsidRPr="00DF1F00" w:rsidRDefault="00DF1F00" w:rsidP="00DF1F00">
            <w:pPr>
              <w:pStyle w:val="Doc-corpsdetexte"/>
              <w:spacing w:after="0"/>
              <w:ind w:firstLine="0"/>
              <w:jc w:val="right"/>
              <w:rPr>
                <w:color w:val="C00000"/>
              </w:rPr>
            </w:pPr>
            <w:r w:rsidRPr="00DF1F00">
              <w:rPr>
                <w:color w:val="C00000"/>
              </w:rPr>
              <w:t>…</w:t>
            </w:r>
          </w:p>
        </w:tc>
      </w:tr>
      <w:tr w:rsidR="00DF1F00" w:rsidTr="00DF1F00">
        <w:trPr>
          <w:jc w:val="center"/>
        </w:trPr>
        <w:tc>
          <w:tcPr>
            <w:tcW w:w="3816" w:type="dxa"/>
            <w:vAlign w:val="center"/>
          </w:tcPr>
          <w:p w:rsidR="00DF1F00" w:rsidRPr="00DF1F00" w:rsidRDefault="00A454F2" w:rsidP="00DF1F00">
            <w:pPr>
              <w:pStyle w:val="Doc-corpsdetexte"/>
              <w:ind w:firstLine="0"/>
              <w:rPr>
                <w:color w:val="008000"/>
              </w:rPr>
            </w:pPr>
            <w:r>
              <w:rPr>
                <w:noProof/>
                <w:color w:val="008000"/>
                <w:lang w:eastAsia="fr-FR" w:bidi="ar-SA"/>
              </w:rPr>
              <w:pict>
                <v:shape id="_x0000_s1578" type="#_x0000_t32" style="position:absolute;left:0;text-align:left;margin-left:169.75pt;margin-top:.05pt;width:12.9pt;height:.05pt;z-index:252217344;mso-position-horizontal-relative:text;mso-position-vertical-relative:text" o:connectortype="straight" strokecolor="green">
                  <v:stroke endarrow="block"/>
                </v:shape>
              </w:pict>
            </w:r>
            <w:r w:rsidR="00DF1F00" w:rsidRPr="00DF1F00">
              <w:rPr>
                <w:color w:val="008000"/>
              </w:rPr>
              <w:t>Energie de rotation de la Terre</w:t>
            </w:r>
          </w:p>
        </w:tc>
        <w:tc>
          <w:tcPr>
            <w:tcW w:w="2268" w:type="dxa"/>
            <w:vMerge/>
            <w:vAlign w:val="bottom"/>
          </w:tcPr>
          <w:p w:rsidR="00DF1F00" w:rsidRPr="00425F15" w:rsidRDefault="00DF1F00" w:rsidP="00DF1F00">
            <w:pPr>
              <w:pStyle w:val="Doc-corpsdetexte"/>
              <w:ind w:firstLine="0"/>
            </w:pPr>
          </w:p>
        </w:tc>
        <w:tc>
          <w:tcPr>
            <w:tcW w:w="2268" w:type="dxa"/>
            <w:vMerge/>
            <w:vAlign w:val="center"/>
          </w:tcPr>
          <w:p w:rsidR="00DF1F00" w:rsidRPr="00892670" w:rsidRDefault="00DF1F00" w:rsidP="00DF1F00">
            <w:pPr>
              <w:pStyle w:val="Doc-corpsdetexte"/>
              <w:ind w:firstLine="0"/>
            </w:pPr>
          </w:p>
        </w:tc>
        <w:tc>
          <w:tcPr>
            <w:tcW w:w="1276" w:type="dxa"/>
            <w:vMerge/>
            <w:vAlign w:val="center"/>
          </w:tcPr>
          <w:p w:rsidR="00DF1F00" w:rsidRPr="00892670" w:rsidRDefault="00DF1F00" w:rsidP="00DF1F00">
            <w:pPr>
              <w:pStyle w:val="Doc-corpsdetexte"/>
              <w:ind w:firstLine="0"/>
            </w:pPr>
          </w:p>
        </w:tc>
        <w:tc>
          <w:tcPr>
            <w:tcW w:w="305" w:type="dxa"/>
            <w:vMerge/>
            <w:vAlign w:val="center"/>
          </w:tcPr>
          <w:p w:rsidR="00DF1F00" w:rsidRPr="00892670" w:rsidRDefault="00DF1F00" w:rsidP="00DF1F00">
            <w:pPr>
              <w:pStyle w:val="Doc-corpsdetexte"/>
              <w:ind w:firstLine="0"/>
            </w:pPr>
          </w:p>
        </w:tc>
      </w:tr>
    </w:tbl>
    <w:p w:rsidR="008C56A8" w:rsidRPr="00EA2675" w:rsidRDefault="008C56A8" w:rsidP="009D7296">
      <w:pPr>
        <w:pStyle w:val="Doc-corpsdetexte"/>
        <w:rPr>
          <w:highlight w:val="yellow"/>
        </w:rPr>
      </w:pPr>
      <w:r w:rsidRPr="00EA2675">
        <w:t>La prévisibilité et la position côtière du phénomène rendent cette énergie facilement exploitable. Soit les courants font directement tourner les hydroliennes, soit l’énergie est « concentrée » par un barrage, comme à l’usine de la Rance. Le barrage, construit parallèlement à la côte, retient l’eau et crée une différence de niveau entre le large et la côte</w:t>
      </w:r>
      <w:r>
        <w:t>. Les turbines placées sous le barrage tournent sous l’effet du courant augmenté de la pression induite.</w:t>
      </w:r>
    </w:p>
    <w:p w:rsidR="008C56A8" w:rsidRDefault="008C56A8" w:rsidP="009D7296">
      <w:pPr>
        <w:pStyle w:val="Doc-corpsdetexte"/>
      </w:pPr>
      <w:r>
        <w:t>Le mouvement d’oscillation des vagues peut être transféré à un générateur (énergie houlomotrice). Les grands courants océaniques tels que le Gulf Stream sont aussi sources d’énergie. Cependant, l’exploitation de ces sources est peu rentable.</w:t>
      </w:r>
    </w:p>
    <w:p w:rsidR="008C56A8" w:rsidRPr="00C47645" w:rsidRDefault="00A454F2" w:rsidP="00351B29">
      <w:pPr>
        <w:pStyle w:val="Doc-titre5"/>
      </w:pPr>
      <w:r>
        <w:rPr>
          <w:noProof/>
          <w:lang w:eastAsia="fr-FR" w:bidi="ar-SA"/>
        </w:rPr>
        <w:pict>
          <v:shape id="_x0000_s1581" type="#_x0000_t202" style="position:absolute;left:0;text-align:left;margin-left:-28.35pt;margin-top:6.25pt;width:27.7pt;height:44.85pt;z-index:252220416;mso-position-horizontal-relative:margin" fillcolor="#3cf" strokeweight="1pt">
            <v:fill color2="#393" rotate="t" angle="-90" focus="100%" type="gradient"/>
            <o:lock v:ext="edit" aspectratio="t"/>
            <v:textbox style="mso-next-textbox:#_x0000_s1581">
              <w:txbxContent>
                <w:p w:rsidR="009811EF" w:rsidRPr="00DD2F9B" w:rsidRDefault="009811EF" w:rsidP="00351B29">
                  <w:pPr>
                    <w:jc w:val="center"/>
                    <w:rPr>
                      <w:rFonts w:ascii="Colonna MT" w:hAnsi="Colonna MT"/>
                      <w:b/>
                      <w:sz w:val="40"/>
                      <w:szCs w:val="40"/>
                    </w:rPr>
                  </w:pPr>
                  <w:r>
                    <w:rPr>
                      <w:rFonts w:ascii="Colonna MT" w:hAnsi="Colonna MT"/>
                      <w:b/>
                      <w:sz w:val="40"/>
                      <w:szCs w:val="40"/>
                    </w:rPr>
                    <w:t>I</w:t>
                  </w:r>
                </w:p>
              </w:txbxContent>
            </v:textbox>
            <w10:wrap anchorx="margin"/>
          </v:shape>
        </w:pict>
      </w:r>
      <w:r w:rsidR="008C56A8" w:rsidRPr="002D40D1">
        <w:t>Géothermie</w:t>
      </w:r>
      <w:r w:rsidR="008C56A8" w:rsidRPr="000F7065">
        <w:rPr>
          <w:rStyle w:val="Appelnotedebasdep"/>
          <w:u w:val="none"/>
        </w:rPr>
        <w:footnoteReference w:id="12"/>
      </w:r>
    </w:p>
    <w:p w:rsidR="008C56A8" w:rsidRPr="007E57F4" w:rsidRDefault="008C56A8" w:rsidP="009D7296">
      <w:pPr>
        <w:pStyle w:val="Doc-corpsdetexte"/>
      </w:pPr>
      <w:r>
        <w:t>95 % de la masse de la Terre est à plus de 100 °C. Le sous-sol terrestre se composent de roches thermiquement isolantes, d’où un gradient de température de 1 °C à 10 °C tous les 100 m, sans fluctuations dues à la température extérieure. Le caractère renouvelable de cette source est contestable : la chaleur pompée entraine un refroidissement de la roche. Il faut maintenir un équilibre entre la vitesse d’exploitation et le temps de renouvellement de cette chaleur.</w:t>
      </w:r>
    </w:p>
    <w:tbl>
      <w:tblPr>
        <w:tblStyle w:val="Grilledutableau"/>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111"/>
        <w:gridCol w:w="3686"/>
        <w:gridCol w:w="2126"/>
        <w:gridCol w:w="2126"/>
        <w:gridCol w:w="2268"/>
      </w:tblGrid>
      <w:tr w:rsidR="00351B29" w:rsidTr="00110194">
        <w:tc>
          <w:tcPr>
            <w:tcW w:w="4111" w:type="dxa"/>
            <w:vAlign w:val="center"/>
          </w:tcPr>
          <w:p w:rsidR="00351B29" w:rsidRPr="00351B29" w:rsidRDefault="00351B29" w:rsidP="00110194">
            <w:pPr>
              <w:pStyle w:val="Doc-corpsdetexte"/>
              <w:rPr>
                <w:b/>
                <w:color w:val="003399"/>
              </w:rPr>
            </w:pPr>
            <w:r w:rsidRPr="00351B29">
              <w:rPr>
                <w:b/>
                <w:color w:val="003399"/>
              </w:rPr>
              <w:lastRenderedPageBreak/>
              <w:t xml:space="preserve">Géothermie très basse température </w:t>
            </w:r>
          </w:p>
        </w:tc>
        <w:tc>
          <w:tcPr>
            <w:tcW w:w="3686" w:type="dxa"/>
            <w:vAlign w:val="center"/>
          </w:tcPr>
          <w:p w:rsidR="00351B29" w:rsidRPr="00110194" w:rsidRDefault="00351B29" w:rsidP="00110194">
            <w:pPr>
              <w:pStyle w:val="Doc-corpsdetexte"/>
              <w:ind w:firstLine="0"/>
              <w:jc w:val="right"/>
              <w:rPr>
                <w:color w:val="008000"/>
              </w:rPr>
            </w:pPr>
            <w:r w:rsidRPr="00110194">
              <w:rPr>
                <w:color w:val="008000"/>
              </w:rPr>
              <w:t>Energie nucléaire solaire</w:t>
            </w:r>
          </w:p>
        </w:tc>
        <w:tc>
          <w:tcPr>
            <w:tcW w:w="2126" w:type="dxa"/>
            <w:vAlign w:val="center"/>
          </w:tcPr>
          <w:p w:rsidR="00351B29" w:rsidRPr="00110194" w:rsidRDefault="00A454F2" w:rsidP="00110194">
            <w:pPr>
              <w:pStyle w:val="Doc-corpsdetexte"/>
              <w:ind w:firstLine="0"/>
              <w:jc w:val="right"/>
              <w:rPr>
                <w:b/>
                <w:color w:val="008000"/>
              </w:rPr>
            </w:pPr>
            <w:r w:rsidRPr="00A454F2">
              <w:rPr>
                <w:b/>
                <w:noProof/>
                <w:color w:val="003399"/>
                <w:lang w:eastAsia="fr-FR" w:bidi="ar-SA"/>
              </w:rPr>
              <w:pict>
                <v:shape id="_x0000_s1588" type="#_x0000_t32" style="position:absolute;left:0;text-align:left;margin-left:1.6pt;margin-top:9.6pt;width:12.9pt;height:.05pt;z-index:252226560;mso-position-horizontal-relative:text;mso-position-vertical-relative:text" o:connectortype="straight" strokecolor="green">
                  <v:stroke endarrow="block"/>
                </v:shape>
              </w:pict>
            </w:r>
            <w:r w:rsidR="00351B29" w:rsidRPr="00110194">
              <w:rPr>
                <w:color w:val="008000"/>
              </w:rPr>
              <w:t>Energie lumineuse</w:t>
            </w:r>
          </w:p>
        </w:tc>
        <w:tc>
          <w:tcPr>
            <w:tcW w:w="2126" w:type="dxa"/>
            <w:vAlign w:val="center"/>
          </w:tcPr>
          <w:p w:rsidR="00351B29" w:rsidRPr="00110194" w:rsidRDefault="00A454F2" w:rsidP="00110194">
            <w:pPr>
              <w:pStyle w:val="Doc-corpsdetexte"/>
              <w:ind w:firstLine="0"/>
              <w:jc w:val="right"/>
              <w:rPr>
                <w:color w:val="008000"/>
              </w:rPr>
            </w:pPr>
            <w:r>
              <w:rPr>
                <w:noProof/>
                <w:color w:val="008000"/>
                <w:lang w:eastAsia="fr-FR" w:bidi="ar-SA"/>
              </w:rPr>
              <w:pict>
                <v:shape id="_x0000_s1589" type="#_x0000_t32" style="position:absolute;left:0;text-align:left;margin-left:1.7pt;margin-top:10.15pt;width:12.9pt;height:.05pt;z-index:252227584;mso-position-horizontal-relative:text;mso-position-vertical-relative:text" o:connectortype="straight" strokecolor="green">
                  <v:stroke endarrow="block"/>
                </v:shape>
              </w:pict>
            </w:r>
            <w:r w:rsidR="00351B29" w:rsidRPr="00110194">
              <w:rPr>
                <w:color w:val="008000"/>
              </w:rPr>
              <w:t>Energie thermique</w:t>
            </w:r>
          </w:p>
        </w:tc>
        <w:tc>
          <w:tcPr>
            <w:tcW w:w="2268" w:type="dxa"/>
            <w:vAlign w:val="center"/>
          </w:tcPr>
          <w:p w:rsidR="00351B29" w:rsidRPr="00110194" w:rsidRDefault="00A454F2" w:rsidP="00110194">
            <w:pPr>
              <w:pStyle w:val="Doc-corpsdetexte"/>
              <w:ind w:firstLine="0"/>
              <w:jc w:val="right"/>
              <w:rPr>
                <w:i/>
              </w:rPr>
            </w:pPr>
            <w:r w:rsidRPr="00A454F2">
              <w:rPr>
                <w:noProof/>
                <w:color w:val="008000"/>
                <w:lang w:eastAsia="fr-FR" w:bidi="ar-SA"/>
              </w:rPr>
              <w:pict>
                <v:shape id="_x0000_s1590" type="#_x0000_t32" style="position:absolute;left:0;text-align:left;margin-left:3.2pt;margin-top:9.85pt;width:12.9pt;height:.05pt;z-index:252228608;mso-position-horizontal-relative:text;mso-position-vertical-relative:text" o:connectortype="straight" strokecolor="#c00000">
                  <v:stroke endarrow="block"/>
                </v:shape>
              </w:pict>
            </w:r>
            <w:r w:rsidR="00351B29" w:rsidRPr="00110194">
              <w:rPr>
                <w:i/>
              </w:rPr>
              <w:t>Utilisation : chaleur</w:t>
            </w:r>
          </w:p>
        </w:tc>
      </w:tr>
    </w:tbl>
    <w:p w:rsidR="008C56A8" w:rsidRDefault="008C56A8" w:rsidP="009D7296">
      <w:pPr>
        <w:pStyle w:val="Doc-corpsdetexte"/>
      </w:pPr>
      <w:r>
        <w:t>Roches de surface (10 m à 100 m), aux envions de 15 °C.</w:t>
      </w:r>
      <w:r w:rsidRPr="00965EE8">
        <w:t xml:space="preserve"> </w:t>
      </w:r>
      <w:r>
        <w:t>Utilisation résidentielle par pompe à chaleur. La pompe contient un fluide à basse température. La chaleur du sol fait s’évaporer le fluide, et la vapeur est compressée. Un condenseur refait passer le fluide à l’état liquide, la décompression libère de l’énergie sous forme de chaleur</w:t>
      </w:r>
      <w:r>
        <w:rPr>
          <w:rStyle w:val="Appelnotedebasdep"/>
        </w:rPr>
        <w:footnoteReference w:id="13"/>
      </w:r>
      <w:r>
        <w:t xml:space="preserve">. </w:t>
      </w:r>
    </w:p>
    <w:tbl>
      <w:tblPr>
        <w:tblStyle w:val="Grilledutableau"/>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820"/>
        <w:gridCol w:w="5103"/>
        <w:gridCol w:w="2126"/>
        <w:gridCol w:w="2268"/>
      </w:tblGrid>
      <w:tr w:rsidR="00351B29" w:rsidTr="00A63A95">
        <w:tc>
          <w:tcPr>
            <w:tcW w:w="4820" w:type="dxa"/>
            <w:vAlign w:val="center"/>
          </w:tcPr>
          <w:p w:rsidR="00351B29" w:rsidRPr="00351B29" w:rsidRDefault="00351B29" w:rsidP="00110194">
            <w:pPr>
              <w:pStyle w:val="Doc-corpsdetexte"/>
              <w:rPr>
                <w:b/>
                <w:color w:val="003399"/>
              </w:rPr>
            </w:pPr>
            <w:r w:rsidRPr="00351B29">
              <w:rPr>
                <w:b/>
                <w:color w:val="003399"/>
              </w:rPr>
              <w:t>Géothermie basse et moyenne température</w:t>
            </w:r>
          </w:p>
        </w:tc>
        <w:tc>
          <w:tcPr>
            <w:tcW w:w="5103" w:type="dxa"/>
            <w:vAlign w:val="center"/>
          </w:tcPr>
          <w:p w:rsidR="00351B29" w:rsidRPr="00110194" w:rsidRDefault="00351B29" w:rsidP="00110194">
            <w:pPr>
              <w:pStyle w:val="Doc-corpsdetexte"/>
              <w:ind w:firstLine="0"/>
              <w:jc w:val="right"/>
              <w:rPr>
                <w:color w:val="008000"/>
              </w:rPr>
            </w:pPr>
            <w:r w:rsidRPr="00110194">
              <w:rPr>
                <w:color w:val="008000"/>
              </w:rPr>
              <w:t>Energie nucléaire des roches</w:t>
            </w:r>
          </w:p>
        </w:tc>
        <w:tc>
          <w:tcPr>
            <w:tcW w:w="2126" w:type="dxa"/>
            <w:vAlign w:val="center"/>
          </w:tcPr>
          <w:p w:rsidR="00351B29" w:rsidRPr="00110194" w:rsidRDefault="00A454F2" w:rsidP="00110194">
            <w:pPr>
              <w:pStyle w:val="Doc-corpsdetexte"/>
              <w:ind w:firstLine="0"/>
              <w:jc w:val="right"/>
              <w:rPr>
                <w:color w:val="008000"/>
              </w:rPr>
            </w:pPr>
            <w:r w:rsidRPr="00A454F2">
              <w:rPr>
                <w:b/>
                <w:noProof/>
                <w:color w:val="003399"/>
                <w:lang w:eastAsia="fr-FR" w:bidi="ar-SA"/>
              </w:rPr>
              <w:pict>
                <v:shape id="_x0000_s1595" type="#_x0000_t32" style="position:absolute;left:0;text-align:left;margin-left:1.45pt;margin-top:9.9pt;width:12.9pt;height:.05pt;z-index:252233728;mso-position-horizontal-relative:text;mso-position-vertical-relative:text" o:connectortype="straight" strokecolor="green">
                  <v:stroke endarrow="block"/>
                </v:shape>
              </w:pict>
            </w:r>
            <w:r w:rsidR="00351B29" w:rsidRPr="00110194">
              <w:rPr>
                <w:color w:val="008000"/>
              </w:rPr>
              <w:t>Energie thermique</w:t>
            </w:r>
          </w:p>
        </w:tc>
        <w:tc>
          <w:tcPr>
            <w:tcW w:w="2268" w:type="dxa"/>
            <w:vAlign w:val="center"/>
          </w:tcPr>
          <w:p w:rsidR="00351B29" w:rsidRPr="00110194" w:rsidRDefault="00A454F2" w:rsidP="00110194">
            <w:pPr>
              <w:pStyle w:val="Doc-corpsdetexte"/>
              <w:ind w:firstLine="0"/>
              <w:jc w:val="right"/>
              <w:rPr>
                <w:i/>
              </w:rPr>
            </w:pPr>
            <w:r w:rsidRPr="00A454F2">
              <w:rPr>
                <w:noProof/>
                <w:color w:val="008000"/>
                <w:lang w:eastAsia="fr-FR" w:bidi="ar-SA"/>
              </w:rPr>
              <w:pict>
                <v:shape id="_x0000_s1596" type="#_x0000_t32" style="position:absolute;left:0;text-align:left;margin-left:3.5pt;margin-top:9.2pt;width:12.9pt;height:.05pt;z-index:252234752;mso-position-horizontal-relative:text;mso-position-vertical-relative:text" o:connectortype="straight" strokecolor="#c00000">
                  <v:stroke endarrow="block"/>
                </v:shape>
              </w:pict>
            </w:r>
            <w:r w:rsidR="00351B29" w:rsidRPr="00110194">
              <w:rPr>
                <w:i/>
              </w:rPr>
              <w:t>Utilisation : chaleur</w:t>
            </w:r>
          </w:p>
        </w:tc>
      </w:tr>
    </w:tbl>
    <w:p w:rsidR="008C56A8" w:rsidRDefault="008C56A8" w:rsidP="009D7296">
      <w:pPr>
        <w:pStyle w:val="Doc-corpsdetexte"/>
      </w:pPr>
      <w:r>
        <w:t>Bassin sédimentaires, de 50 °C à 100 °C. Utilisation industrielle et agricole.</w:t>
      </w:r>
    </w:p>
    <w:tbl>
      <w:tblPr>
        <w:tblStyle w:val="Grilledutableau"/>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686"/>
        <w:gridCol w:w="4252"/>
        <w:gridCol w:w="2127"/>
        <w:gridCol w:w="2268"/>
        <w:gridCol w:w="1417"/>
        <w:gridCol w:w="567"/>
      </w:tblGrid>
      <w:tr w:rsidR="00351B29" w:rsidRPr="00110194" w:rsidTr="00D06296">
        <w:tc>
          <w:tcPr>
            <w:tcW w:w="3686" w:type="dxa"/>
            <w:vAlign w:val="center"/>
          </w:tcPr>
          <w:p w:rsidR="00351B29" w:rsidRPr="00351B29" w:rsidRDefault="00351B29" w:rsidP="00110194">
            <w:pPr>
              <w:pStyle w:val="Doc-corpsdetexte"/>
              <w:rPr>
                <w:b/>
                <w:color w:val="003399"/>
              </w:rPr>
            </w:pPr>
            <w:r w:rsidRPr="00351B29">
              <w:rPr>
                <w:b/>
                <w:color w:val="003399"/>
              </w:rPr>
              <w:t>Géothermie haute température</w:t>
            </w:r>
          </w:p>
        </w:tc>
        <w:tc>
          <w:tcPr>
            <w:tcW w:w="4252" w:type="dxa"/>
            <w:vAlign w:val="center"/>
          </w:tcPr>
          <w:p w:rsidR="00351B29" w:rsidRPr="00110194" w:rsidRDefault="00351B29" w:rsidP="00110194">
            <w:pPr>
              <w:pStyle w:val="Doc-corpsdetexte"/>
              <w:ind w:firstLine="0"/>
              <w:jc w:val="right"/>
              <w:rPr>
                <w:color w:val="008000"/>
              </w:rPr>
            </w:pPr>
            <w:r w:rsidRPr="00110194">
              <w:rPr>
                <w:color w:val="008000"/>
              </w:rPr>
              <w:t>Energie nucléaire des roches</w:t>
            </w:r>
          </w:p>
        </w:tc>
        <w:tc>
          <w:tcPr>
            <w:tcW w:w="2127" w:type="dxa"/>
            <w:vAlign w:val="center"/>
          </w:tcPr>
          <w:p w:rsidR="00351B29" w:rsidRPr="00110194" w:rsidRDefault="00A454F2" w:rsidP="00110194">
            <w:pPr>
              <w:pStyle w:val="Doc-corpsdetexte"/>
              <w:ind w:firstLine="0"/>
              <w:jc w:val="right"/>
              <w:rPr>
                <w:b/>
                <w:color w:val="008000"/>
              </w:rPr>
            </w:pPr>
            <w:r w:rsidRPr="00A454F2">
              <w:rPr>
                <w:b/>
                <w:color w:val="003399"/>
              </w:rPr>
              <w:pict>
                <v:shape id="_x0000_s1605" type="#_x0000_t32" style="position:absolute;left:0;text-align:left;margin-left:2.35pt;margin-top:10pt;width:12.9pt;height:.05pt;z-index:252241920;mso-position-horizontal-relative:text;mso-position-vertical-relative:text" o:connectortype="straight" strokecolor="green">
                  <v:stroke endarrow="block"/>
                </v:shape>
              </w:pict>
            </w:r>
            <w:r w:rsidR="00351B29" w:rsidRPr="00110194">
              <w:rPr>
                <w:color w:val="008000"/>
              </w:rPr>
              <w:t>Energie thermique</w:t>
            </w:r>
          </w:p>
        </w:tc>
        <w:tc>
          <w:tcPr>
            <w:tcW w:w="2268" w:type="dxa"/>
            <w:vAlign w:val="center"/>
          </w:tcPr>
          <w:p w:rsidR="00351B29" w:rsidRPr="00110194" w:rsidRDefault="00A454F2" w:rsidP="00110194">
            <w:pPr>
              <w:pStyle w:val="Doc-corpsdetexte"/>
              <w:ind w:firstLine="0"/>
              <w:jc w:val="right"/>
              <w:rPr>
                <w:b/>
                <w:color w:val="C00000"/>
              </w:rPr>
            </w:pPr>
            <w:r w:rsidRPr="00A454F2">
              <w:rPr>
                <w:noProof/>
                <w:color w:val="008000"/>
                <w:lang w:eastAsia="fr-FR" w:bidi="ar-SA"/>
              </w:rPr>
              <w:pict>
                <v:shape id="_x0000_s1606" type="#_x0000_t32" style="position:absolute;left:0;text-align:left;margin-left:5pt;margin-top:9.85pt;width:12.9pt;height:.05pt;z-index:252242944;mso-position-horizontal-relative:text;mso-position-vertical-relative:text" o:connectortype="straight" strokecolor="#c00000">
                  <v:stroke endarrow="block"/>
                </v:shape>
              </w:pict>
            </w:r>
            <w:r w:rsidR="00351B29" w:rsidRPr="00110194">
              <w:rPr>
                <w:color w:val="C00000"/>
              </w:rPr>
              <w:t>Energie mécanique</w:t>
            </w:r>
          </w:p>
        </w:tc>
        <w:tc>
          <w:tcPr>
            <w:tcW w:w="1417" w:type="dxa"/>
            <w:vAlign w:val="center"/>
          </w:tcPr>
          <w:p w:rsidR="00351B29" w:rsidRPr="00110194" w:rsidRDefault="00A454F2" w:rsidP="00110194">
            <w:pPr>
              <w:pStyle w:val="Doc-corpsdetexte"/>
              <w:ind w:firstLine="0"/>
              <w:jc w:val="right"/>
              <w:rPr>
                <w:b/>
                <w:color w:val="C00000"/>
              </w:rPr>
            </w:pPr>
            <w:r w:rsidRPr="00A454F2">
              <w:rPr>
                <w:noProof/>
                <w:color w:val="C00000"/>
                <w:lang w:eastAsia="fr-FR" w:bidi="ar-SA"/>
              </w:rPr>
              <w:pict>
                <v:shape id="_x0000_s1607" type="#_x0000_t32" style="position:absolute;left:0;text-align:left;margin-left:5pt;margin-top:9.9pt;width:12.9pt;height:.05pt;z-index:252243968;mso-position-horizontal-relative:text;mso-position-vertical-relative:text" o:connectortype="straight" strokecolor="#c00000">
                  <v:stroke endarrow="block"/>
                </v:shape>
              </w:pict>
            </w:r>
            <w:r w:rsidR="00351B29" w:rsidRPr="00110194">
              <w:rPr>
                <w:color w:val="C00000"/>
              </w:rPr>
              <w:t>Electricité</w:t>
            </w:r>
          </w:p>
        </w:tc>
        <w:tc>
          <w:tcPr>
            <w:tcW w:w="567" w:type="dxa"/>
            <w:vAlign w:val="center"/>
          </w:tcPr>
          <w:p w:rsidR="00351B29" w:rsidRPr="00110194" w:rsidRDefault="00A454F2" w:rsidP="00110194">
            <w:pPr>
              <w:pStyle w:val="Doc-corpsdetexte"/>
              <w:ind w:firstLine="0"/>
              <w:jc w:val="right"/>
              <w:rPr>
                <w:color w:val="C00000"/>
              </w:rPr>
            </w:pPr>
            <w:r>
              <w:rPr>
                <w:noProof/>
                <w:color w:val="C00000"/>
                <w:lang w:eastAsia="fr-FR" w:bidi="ar-SA"/>
              </w:rPr>
              <w:pict>
                <v:shape id="_x0000_s1608" type="#_x0000_t32" style="position:absolute;left:0;text-align:left;margin-left:3.15pt;margin-top:9.95pt;width:12.9pt;height:.05pt;z-index:252244992;mso-position-horizontal-relative:text;mso-position-vertical-relative:text" o:connectortype="straight" strokecolor="#c00000">
                  <v:stroke endarrow="block"/>
                </v:shape>
              </w:pict>
            </w:r>
            <w:r w:rsidR="00351B29" w:rsidRPr="00110194">
              <w:rPr>
                <w:color w:val="C00000"/>
              </w:rPr>
              <w:t>…</w:t>
            </w:r>
          </w:p>
        </w:tc>
      </w:tr>
    </w:tbl>
    <w:p w:rsidR="008C56A8" w:rsidRDefault="008C56A8" w:rsidP="009D7296">
      <w:pPr>
        <w:pStyle w:val="Doc-corpsdetexte"/>
      </w:pPr>
      <w:r>
        <w:t>Zones volcanique, à plus de 150 °C. L’eau est pompée à la surface, où elle se transforme en vapeur sous l’effet de la différence de pression.</w:t>
      </w:r>
    </w:p>
    <w:p w:rsidR="008C56A8" w:rsidRPr="003F1983" w:rsidRDefault="00A454F2" w:rsidP="003F1983">
      <w:pPr>
        <w:pStyle w:val="Doc-titre5"/>
      </w:pPr>
      <w:r w:rsidRPr="00A454F2">
        <w:rPr>
          <w:b/>
          <w:noProof/>
          <w:color w:val="003399"/>
          <w:lang w:eastAsia="fr-FR" w:bidi="ar-SA"/>
        </w:rPr>
        <w:pict>
          <v:shape id="_x0000_s1626" type="#_x0000_t202" style="position:absolute;left:0;text-align:left;margin-left:-28.35pt;margin-top:6.7pt;width:27.7pt;height:44.85pt;z-index:252259328;mso-position-horizontal-relative:margin" fillcolor="#ae2c2f" strokeweight="1pt">
            <v:fill color2="#fe6e6e" rotate="t" angle="-90" focus="100%" type="gradient"/>
            <o:lock v:ext="edit" aspectratio="t"/>
            <v:textbox style="mso-next-textbox:#_x0000_s1626">
              <w:txbxContent>
                <w:p w:rsidR="009811EF" w:rsidRPr="00DD2F9B" w:rsidRDefault="009811EF" w:rsidP="00865867">
                  <w:pPr>
                    <w:jc w:val="center"/>
                    <w:rPr>
                      <w:rFonts w:ascii="Colonna MT" w:hAnsi="Colonna MT"/>
                      <w:b/>
                      <w:sz w:val="40"/>
                      <w:szCs w:val="40"/>
                    </w:rPr>
                  </w:pPr>
                  <w:r>
                    <w:rPr>
                      <w:rFonts w:ascii="Colonna MT" w:hAnsi="Colonna MT"/>
                      <w:b/>
                      <w:sz w:val="40"/>
                      <w:szCs w:val="40"/>
                    </w:rPr>
                    <w:t>V</w:t>
                  </w:r>
                </w:p>
              </w:txbxContent>
            </v:textbox>
            <w10:wrap anchorx="margin"/>
          </v:shape>
        </w:pict>
      </w:r>
      <w:r w:rsidR="008C56A8" w:rsidRPr="003F1983">
        <w:t>Biomasse</w:t>
      </w:r>
    </w:p>
    <w:tbl>
      <w:tblPr>
        <w:tblStyle w:val="Grilledutableau"/>
        <w:tblW w:w="129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780"/>
        <w:gridCol w:w="2126"/>
        <w:gridCol w:w="2126"/>
        <w:gridCol w:w="2127"/>
        <w:gridCol w:w="2264"/>
        <w:gridCol w:w="992"/>
        <w:gridCol w:w="504"/>
      </w:tblGrid>
      <w:tr w:rsidR="00AF3C68" w:rsidTr="00AF3C68">
        <w:trPr>
          <w:jc w:val="center"/>
        </w:trPr>
        <w:tc>
          <w:tcPr>
            <w:tcW w:w="2780" w:type="dxa"/>
            <w:vAlign w:val="center"/>
          </w:tcPr>
          <w:p w:rsidR="008C56A8" w:rsidRPr="00AB3564" w:rsidRDefault="00A454F2" w:rsidP="00935B74">
            <w:pPr>
              <w:pStyle w:val="Doc-corpsdetexte"/>
              <w:spacing w:after="0"/>
              <w:ind w:firstLine="0"/>
              <w:rPr>
                <w:b/>
                <w:color w:val="008000"/>
              </w:rPr>
            </w:pPr>
            <w:r w:rsidRPr="00A454F2">
              <w:rPr>
                <w:noProof/>
                <w:color w:val="008000"/>
                <w:sz w:val="28"/>
                <w:lang w:eastAsia="fr-FR" w:bidi="ar-SA"/>
              </w:rPr>
              <w:pict>
                <v:shape id="_x0000_s1445" type="#_x0000_t32" style="position:absolute;left:0;text-align:left;margin-left:123pt;margin-top:10.05pt;width:12.9pt;height:.05pt;z-index:252100608" o:connectortype="straight" strokecolor="green">
                  <v:stroke endarrow="block"/>
                </v:shape>
              </w:pict>
            </w:r>
            <w:r w:rsidR="008C56A8" w:rsidRPr="00AB3564">
              <w:rPr>
                <w:color w:val="008000"/>
              </w:rPr>
              <w:t>Energie nucléaire solaire</w:t>
            </w:r>
          </w:p>
        </w:tc>
        <w:tc>
          <w:tcPr>
            <w:tcW w:w="2126" w:type="dxa"/>
            <w:vAlign w:val="center"/>
          </w:tcPr>
          <w:p w:rsidR="008C56A8" w:rsidRPr="00AB3564" w:rsidRDefault="00A454F2" w:rsidP="00935B74">
            <w:pPr>
              <w:pStyle w:val="Doc-corpsdetexte"/>
              <w:spacing w:after="0"/>
              <w:ind w:firstLine="0"/>
              <w:rPr>
                <w:b/>
                <w:color w:val="008000"/>
              </w:rPr>
            </w:pPr>
            <w:r w:rsidRPr="00A454F2">
              <w:rPr>
                <w:noProof/>
                <w:color w:val="008000"/>
                <w:sz w:val="28"/>
                <w:lang w:eastAsia="fr-FR" w:bidi="ar-SA"/>
              </w:rPr>
              <w:pict>
                <v:shape id="_x0000_s1450" type="#_x0000_t32" style="position:absolute;left:0;text-align:left;margin-left:92pt;margin-top:10.2pt;width:12.9pt;height:.05pt;z-index:252105728;mso-position-horizontal-relative:text;mso-position-vertical-relative:text" o:connectortype="straight" strokecolor="green">
                  <v:stroke endarrow="block"/>
                </v:shape>
              </w:pict>
            </w:r>
            <w:r w:rsidR="008C56A8" w:rsidRPr="00AB3564">
              <w:rPr>
                <w:color w:val="008000"/>
              </w:rPr>
              <w:t>Energie lumineuse</w:t>
            </w:r>
          </w:p>
        </w:tc>
        <w:tc>
          <w:tcPr>
            <w:tcW w:w="2126" w:type="dxa"/>
            <w:vAlign w:val="center"/>
          </w:tcPr>
          <w:p w:rsidR="008C56A8" w:rsidRPr="00AB3564" w:rsidRDefault="00A454F2" w:rsidP="00935B74">
            <w:pPr>
              <w:pStyle w:val="Doc-corpsdetexte"/>
              <w:spacing w:after="0"/>
              <w:ind w:firstLine="0"/>
              <w:rPr>
                <w:b/>
                <w:color w:val="008000"/>
              </w:rPr>
            </w:pPr>
            <w:r w:rsidRPr="00A454F2">
              <w:rPr>
                <w:noProof/>
                <w:color w:val="008000"/>
                <w:sz w:val="28"/>
                <w:lang w:eastAsia="fr-FR" w:bidi="ar-SA"/>
              </w:rPr>
              <w:pict>
                <v:shape id="_x0000_s1446" type="#_x0000_t32" style="position:absolute;left:0;text-align:left;margin-left:90.3pt;margin-top:10.45pt;width:12.9pt;height:.05pt;z-index:252101632;mso-position-horizontal-relative:text;mso-position-vertical-relative:text" o:connectortype="straight" strokecolor="#c00000">
                  <v:stroke endarrow="block"/>
                </v:shape>
              </w:pict>
            </w:r>
            <w:r w:rsidR="008C56A8" w:rsidRPr="00AB3564">
              <w:rPr>
                <w:color w:val="008000"/>
              </w:rPr>
              <w:t>Energie chimique</w:t>
            </w:r>
          </w:p>
        </w:tc>
        <w:tc>
          <w:tcPr>
            <w:tcW w:w="2127" w:type="dxa"/>
            <w:vAlign w:val="center"/>
          </w:tcPr>
          <w:p w:rsidR="008C56A8" w:rsidRPr="00AB3564" w:rsidRDefault="00A454F2" w:rsidP="00935B74">
            <w:pPr>
              <w:pStyle w:val="Doc-corpsdetexte"/>
              <w:spacing w:after="0"/>
              <w:ind w:firstLine="0"/>
              <w:rPr>
                <w:b/>
                <w:color w:val="C00000"/>
              </w:rPr>
            </w:pPr>
            <w:r w:rsidRPr="00A454F2">
              <w:rPr>
                <w:noProof/>
                <w:color w:val="C00000"/>
                <w:lang w:eastAsia="fr-FR" w:bidi="ar-SA"/>
              </w:rPr>
              <w:pict>
                <v:shape id="_x0000_s1625" type="#_x0000_t32" style="position:absolute;left:0;text-align:left;margin-left:91.85pt;margin-top:11.05pt;width:15pt;height:17.65pt;z-index:252258304;mso-position-horizontal-relative:text;mso-position-vertical-relative:text" o:connectortype="straight" strokecolor="#c00000">
                  <v:stroke endarrow="block"/>
                </v:shape>
              </w:pict>
            </w:r>
            <w:r w:rsidRPr="00A454F2">
              <w:rPr>
                <w:noProof/>
                <w:color w:val="C00000"/>
                <w:sz w:val="28"/>
                <w:lang w:eastAsia="fr-FR" w:bidi="ar-SA"/>
              </w:rPr>
              <w:pict>
                <v:shape id="_x0000_s1447" type="#_x0000_t32" style="position:absolute;left:0;text-align:left;margin-left:92.35pt;margin-top:10.85pt;width:12.9pt;height:.05pt;z-index:252102656;mso-position-horizontal-relative:text;mso-position-vertical-relative:text" o:connectortype="straight" strokecolor="#c00000">
                  <v:stroke endarrow="block"/>
                </v:shape>
              </w:pict>
            </w:r>
            <w:r w:rsidR="008C56A8" w:rsidRPr="00AB3564">
              <w:rPr>
                <w:color w:val="C00000"/>
              </w:rPr>
              <w:t>Energie thermique</w:t>
            </w:r>
          </w:p>
        </w:tc>
        <w:tc>
          <w:tcPr>
            <w:tcW w:w="2264" w:type="dxa"/>
            <w:vAlign w:val="center"/>
          </w:tcPr>
          <w:p w:rsidR="008C56A8" w:rsidRPr="00AB3564" w:rsidRDefault="008C56A8" w:rsidP="00935B74">
            <w:pPr>
              <w:pStyle w:val="Doc-corpsdetexte"/>
              <w:spacing w:after="0"/>
              <w:ind w:firstLine="0"/>
              <w:rPr>
                <w:i/>
              </w:rPr>
            </w:pPr>
            <w:r w:rsidRPr="00AB3564">
              <w:rPr>
                <w:i/>
              </w:rPr>
              <w:t>Utilisation : chaleur</w:t>
            </w:r>
          </w:p>
        </w:tc>
        <w:tc>
          <w:tcPr>
            <w:tcW w:w="992" w:type="dxa"/>
          </w:tcPr>
          <w:p w:rsidR="008C56A8" w:rsidRPr="004665D8" w:rsidRDefault="008C56A8" w:rsidP="00935B74">
            <w:pPr>
              <w:pStyle w:val="Doc-corpsdetexte"/>
              <w:spacing w:after="0"/>
              <w:ind w:firstLine="0"/>
            </w:pPr>
          </w:p>
        </w:tc>
        <w:tc>
          <w:tcPr>
            <w:tcW w:w="504" w:type="dxa"/>
          </w:tcPr>
          <w:p w:rsidR="008C56A8" w:rsidRPr="004665D8" w:rsidRDefault="008C56A8" w:rsidP="00935B74">
            <w:pPr>
              <w:pStyle w:val="Doc-corpsdetexte"/>
              <w:spacing w:after="0"/>
              <w:ind w:firstLine="0"/>
            </w:pPr>
          </w:p>
        </w:tc>
      </w:tr>
      <w:tr w:rsidR="00AF3C68" w:rsidTr="00AF3C68">
        <w:trPr>
          <w:jc w:val="center"/>
        </w:trPr>
        <w:tc>
          <w:tcPr>
            <w:tcW w:w="2780" w:type="dxa"/>
            <w:vAlign w:val="center"/>
          </w:tcPr>
          <w:p w:rsidR="008C56A8" w:rsidRDefault="008C56A8" w:rsidP="00935B74">
            <w:pPr>
              <w:pStyle w:val="Doc-corpsdetexte"/>
              <w:ind w:firstLine="0"/>
            </w:pPr>
          </w:p>
        </w:tc>
        <w:tc>
          <w:tcPr>
            <w:tcW w:w="4252" w:type="dxa"/>
            <w:gridSpan w:val="2"/>
            <w:vAlign w:val="center"/>
          </w:tcPr>
          <w:p w:rsidR="008C56A8" w:rsidRDefault="008C56A8" w:rsidP="00935B74">
            <w:pPr>
              <w:pStyle w:val="Doc-corpsdetexte"/>
              <w:ind w:firstLine="0"/>
              <w:rPr>
                <w:kern w:val="24"/>
              </w:rPr>
            </w:pPr>
          </w:p>
        </w:tc>
        <w:tc>
          <w:tcPr>
            <w:tcW w:w="2127" w:type="dxa"/>
            <w:vAlign w:val="center"/>
          </w:tcPr>
          <w:p w:rsidR="008C56A8" w:rsidRPr="00892670" w:rsidRDefault="008C56A8" w:rsidP="00935B74">
            <w:pPr>
              <w:pStyle w:val="Doc-corpsdetexte"/>
              <w:ind w:firstLine="0"/>
            </w:pPr>
          </w:p>
        </w:tc>
        <w:tc>
          <w:tcPr>
            <w:tcW w:w="2264" w:type="dxa"/>
            <w:vAlign w:val="center"/>
          </w:tcPr>
          <w:p w:rsidR="008C56A8" w:rsidRPr="00AB3564" w:rsidRDefault="00A454F2" w:rsidP="00935B74">
            <w:pPr>
              <w:pStyle w:val="Doc-corpsdetexte"/>
              <w:ind w:firstLine="0"/>
              <w:rPr>
                <w:color w:val="C00000"/>
              </w:rPr>
            </w:pPr>
            <w:r w:rsidRPr="00A454F2">
              <w:rPr>
                <w:noProof/>
                <w:color w:val="C00000"/>
                <w:sz w:val="28"/>
                <w:lang w:eastAsia="fr-FR" w:bidi="ar-SA"/>
              </w:rPr>
              <w:pict>
                <v:shape id="_x0000_s1448" type="#_x0000_t32" style="position:absolute;left:0;text-align:left;margin-left:96.5pt;margin-top:9.7pt;width:12.9pt;height:.05pt;z-index:252103680;mso-position-horizontal-relative:text;mso-position-vertical-relative:text" o:connectortype="straight" strokecolor="#c00000">
                  <v:stroke endarrow="block"/>
                </v:shape>
              </w:pict>
            </w:r>
            <w:r w:rsidR="008C56A8" w:rsidRPr="00AB3564">
              <w:rPr>
                <w:color w:val="C00000"/>
              </w:rPr>
              <w:t>Energie mécanique</w:t>
            </w:r>
          </w:p>
        </w:tc>
        <w:tc>
          <w:tcPr>
            <w:tcW w:w="992" w:type="dxa"/>
          </w:tcPr>
          <w:p w:rsidR="008C56A8" w:rsidRPr="00AB3564" w:rsidRDefault="00A454F2" w:rsidP="00935B74">
            <w:pPr>
              <w:pStyle w:val="Doc-corpsdetexte"/>
              <w:ind w:firstLine="0"/>
              <w:rPr>
                <w:color w:val="C00000"/>
              </w:rPr>
            </w:pPr>
            <w:r w:rsidRPr="00A454F2">
              <w:rPr>
                <w:noProof/>
                <w:color w:val="C00000"/>
                <w:sz w:val="28"/>
                <w:lang w:eastAsia="fr-FR" w:bidi="ar-SA"/>
              </w:rPr>
              <w:pict>
                <v:shape id="_x0000_s1449" type="#_x0000_t32" style="position:absolute;left:0;text-align:left;margin-left:51.5pt;margin-top:10.75pt;width:12.9pt;height:.05pt;z-index:252104704;mso-position-horizontal-relative:text;mso-position-vertical-relative:text" o:connectortype="straight" strokecolor="#c00000">
                  <v:stroke endarrow="block"/>
                </v:shape>
              </w:pict>
            </w:r>
            <w:r w:rsidR="008C56A8" w:rsidRPr="00AB3564">
              <w:rPr>
                <w:color w:val="C00000"/>
              </w:rPr>
              <w:t>Electricité</w:t>
            </w:r>
          </w:p>
        </w:tc>
        <w:tc>
          <w:tcPr>
            <w:tcW w:w="504" w:type="dxa"/>
            <w:vAlign w:val="center"/>
          </w:tcPr>
          <w:p w:rsidR="008C56A8" w:rsidRPr="00AB3564" w:rsidRDefault="008C56A8" w:rsidP="00E87317">
            <w:pPr>
              <w:pStyle w:val="Doc-corpsdetexte"/>
              <w:ind w:firstLine="0"/>
              <w:jc w:val="right"/>
              <w:rPr>
                <w:color w:val="C00000"/>
              </w:rPr>
            </w:pPr>
            <w:r w:rsidRPr="00AB3564">
              <w:rPr>
                <w:color w:val="C00000"/>
              </w:rPr>
              <w:t>…</w:t>
            </w:r>
          </w:p>
        </w:tc>
      </w:tr>
    </w:tbl>
    <w:p w:rsidR="008C56A8" w:rsidRDefault="008C56A8" w:rsidP="009D7296">
      <w:pPr>
        <w:pStyle w:val="Doc-corpsdetexte"/>
      </w:pPr>
      <w:r>
        <w:t>Du point de vue énergétique, la biomasse est l’ensemble de la matière vivante présente sur Terre pouvant être source d’énergie. Ainsi, les combustibles fossiles sont issus de la biomasse, mais les transformations que subit la matière organique pour donner les hydrocarbures en font une source d’énergie à part entière.</w:t>
      </w:r>
    </w:p>
    <w:p w:rsidR="008C56A8" w:rsidRDefault="008C56A8" w:rsidP="009D7296">
      <w:pPr>
        <w:pStyle w:val="Doc-corpsdetexte"/>
      </w:pPr>
      <w:r>
        <w:t xml:space="preserve">Le bois – </w:t>
      </w:r>
      <w:r w:rsidRPr="00935B74">
        <w:rPr>
          <w:b/>
          <w:color w:val="003399"/>
        </w:rPr>
        <w:t>biomasse solide</w:t>
      </w:r>
      <w:r w:rsidRPr="00CB5A01">
        <w:t xml:space="preserve"> – </w:t>
      </w:r>
      <w:r>
        <w:t xml:space="preserve">reste le moyen de chauffage et de cuisson principal des pays pauvres. Dans les pays développés, les combustibles aujourd’hui utilisés sont issus des forêts mais aussi des rejets de l’industrie du bois (sciures, écorces, chutes, cagettes et palettes usagées…). </w:t>
      </w:r>
    </w:p>
    <w:p w:rsidR="008C56A8" w:rsidRDefault="008C56A8" w:rsidP="009D7296">
      <w:pPr>
        <w:pStyle w:val="Doc-corpsdetexte"/>
        <w:rPr>
          <w:color w:val="00000A"/>
        </w:rPr>
      </w:pPr>
      <w:r w:rsidRPr="00935B74">
        <w:t>Le</w:t>
      </w:r>
      <w:r w:rsidRPr="00267B79">
        <w:rPr>
          <w:b/>
        </w:rPr>
        <w:t xml:space="preserve"> </w:t>
      </w:r>
      <w:r w:rsidRPr="00935B74">
        <w:rPr>
          <w:b/>
          <w:color w:val="003399"/>
        </w:rPr>
        <w:t>biogaz</w:t>
      </w:r>
      <w:r>
        <w:rPr>
          <w:color w:val="990099"/>
        </w:rPr>
        <w:t xml:space="preserve"> </w:t>
      </w:r>
      <w:r w:rsidRPr="003A6431">
        <w:t>est un mélange</w:t>
      </w:r>
      <w:r>
        <w:rPr>
          <w:color w:val="00000A"/>
        </w:rPr>
        <w:t xml:space="preserve"> de CO</w:t>
      </w:r>
      <w:r>
        <w:rPr>
          <w:color w:val="00000A"/>
          <w:vertAlign w:val="subscript"/>
        </w:rPr>
        <w:t>2</w:t>
      </w:r>
      <w:r>
        <w:rPr>
          <w:color w:val="00000A"/>
        </w:rPr>
        <w:t xml:space="preserve"> (1/3) et de CH</w:t>
      </w:r>
      <w:r>
        <w:rPr>
          <w:color w:val="00000A"/>
          <w:vertAlign w:val="subscript"/>
        </w:rPr>
        <w:t>4</w:t>
      </w:r>
      <w:r>
        <w:rPr>
          <w:color w:val="00000A"/>
        </w:rPr>
        <w:t xml:space="preserve"> (2/3). Sa formation est comparable à celle du gaz naturel – le biogaz est aussi appelé gaz naturel renouvelable –, mais la réaction, plus rapide, se réalise à la surface terrestre (il s’en crée naturellement dans les marais). L’apparition de biogaz dans les décharges, où les conditions sont propices à sa création, a mené à son exploitation en installations afin de valoriser les déchets végétaux. On peut cultiver des plantes pour créer du biogaz, mais cette politique est peu retenue, car elle appauvrit les ressources agricoles.</w:t>
      </w:r>
    </w:p>
    <w:p w:rsidR="008C56A8" w:rsidRDefault="008C56A8" w:rsidP="009D7296">
      <w:pPr>
        <w:pStyle w:val="Doc-corpsdetexte"/>
        <w:rPr>
          <w:color w:val="00000A"/>
        </w:rPr>
      </w:pPr>
      <w:r w:rsidRPr="00935B74">
        <w:t>Les</w:t>
      </w:r>
      <w:r w:rsidRPr="00393BC8">
        <w:rPr>
          <w:b/>
        </w:rPr>
        <w:t xml:space="preserve"> </w:t>
      </w:r>
      <w:r w:rsidRPr="00935B74">
        <w:rPr>
          <w:b/>
          <w:color w:val="003399"/>
        </w:rPr>
        <w:t>biocarburants</w:t>
      </w:r>
      <w:r>
        <w:rPr>
          <w:color w:val="000000"/>
        </w:rPr>
        <w:t xml:space="preserve"> – </w:t>
      </w:r>
      <w:r>
        <w:rPr>
          <w:color w:val="00000A"/>
        </w:rPr>
        <w:t>éthanol et biodiesel – sont utilisés directement comme carburant ou mélangés aux carburants classiques (essence pour l’éthanol, gazole pour le biodiesel). L’éthanol est un alcool issu de la fermentation de sucres des plantes. Le biodiesel s’obtient à partir de l’huile des graines de plantes  ou des lipides des microorganismes</w:t>
      </w:r>
      <w:r>
        <w:rPr>
          <w:rStyle w:val="Appeldenote"/>
        </w:rPr>
        <w:footnoteReference w:id="14"/>
      </w:r>
      <w:r>
        <w:rPr>
          <w:color w:val="00000A"/>
        </w:rPr>
        <w:t xml:space="preserve">. </w:t>
      </w:r>
    </w:p>
    <w:tbl>
      <w:tblPr>
        <w:tblW w:w="15451" w:type="dxa"/>
        <w:tblInd w:w="-459" w:type="dxa"/>
        <w:tblBorders>
          <w:top w:val="single" w:sz="4" w:space="0" w:color="000001"/>
          <w:left w:val="single" w:sz="4" w:space="0" w:color="000001"/>
          <w:bottom w:val="single" w:sz="4" w:space="0" w:color="000001"/>
        </w:tblBorders>
        <w:tblCellMar>
          <w:left w:w="10" w:type="dxa"/>
          <w:right w:w="10" w:type="dxa"/>
        </w:tblCellMar>
        <w:tblLook w:val="0000"/>
      </w:tblPr>
      <w:tblGrid>
        <w:gridCol w:w="3969"/>
        <w:gridCol w:w="1418"/>
        <w:gridCol w:w="10064"/>
      </w:tblGrid>
      <w:tr w:rsidR="008C56A8" w:rsidRPr="00E17D7C" w:rsidTr="00C35124">
        <w:trPr>
          <w:cantSplit/>
        </w:trPr>
        <w:tc>
          <w:tcPr>
            <w:tcW w:w="3969" w:type="dxa"/>
            <w:tcBorders>
              <w:top w:val="single" w:sz="4" w:space="0" w:color="auto"/>
              <w:left w:val="single" w:sz="4" w:space="0" w:color="000001"/>
              <w:bottom w:val="single" w:sz="4" w:space="0" w:color="000001"/>
            </w:tcBorders>
            <w:shd w:val="clear" w:color="auto" w:fill="auto"/>
            <w:tcMar>
              <w:top w:w="0" w:type="dxa"/>
              <w:left w:w="108" w:type="dxa"/>
              <w:bottom w:w="0" w:type="dxa"/>
              <w:right w:w="108" w:type="dxa"/>
            </w:tcMar>
            <w:vAlign w:val="center"/>
          </w:tcPr>
          <w:p w:rsidR="008C56A8" w:rsidRPr="00E17D7C" w:rsidRDefault="008C56A8" w:rsidP="008057F0">
            <w:pPr>
              <w:pStyle w:val="Doc-corpsdetexte"/>
              <w:spacing w:after="0"/>
              <w:ind w:firstLine="0"/>
              <w:rPr>
                <w:b/>
              </w:rPr>
            </w:pPr>
            <w:r w:rsidRPr="00E17D7C">
              <w:rPr>
                <w:b/>
              </w:rPr>
              <w:lastRenderedPageBreak/>
              <w:br w:type="page"/>
              <w:t>Source</w:t>
            </w:r>
          </w:p>
        </w:tc>
        <w:tc>
          <w:tcPr>
            <w:tcW w:w="1418" w:type="dxa"/>
            <w:tcBorders>
              <w:top w:val="single" w:sz="4" w:space="0" w:color="auto"/>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rsidR="008C56A8" w:rsidRPr="00E17D7C" w:rsidRDefault="008C56A8" w:rsidP="008057F0">
            <w:pPr>
              <w:pStyle w:val="Doc-corpsdetexte"/>
              <w:spacing w:after="0"/>
              <w:ind w:firstLine="0"/>
              <w:rPr>
                <w:b/>
              </w:rPr>
            </w:pPr>
            <w:r w:rsidRPr="00E17D7C">
              <w:rPr>
                <w:b/>
              </w:rPr>
              <w:t>Carburant</w:t>
            </w:r>
          </w:p>
        </w:tc>
        <w:tc>
          <w:tcPr>
            <w:tcW w:w="10064" w:type="dxa"/>
            <w:tcBorders>
              <w:top w:val="single" w:sz="4" w:space="0" w:color="auto"/>
              <w:left w:val="single" w:sz="4" w:space="0" w:color="auto"/>
              <w:bottom w:val="single" w:sz="4" w:space="0" w:color="000001"/>
              <w:right w:val="single" w:sz="4" w:space="0" w:color="auto"/>
            </w:tcBorders>
            <w:shd w:val="clear" w:color="auto" w:fill="auto"/>
            <w:tcMar>
              <w:top w:w="0" w:type="dxa"/>
              <w:left w:w="108" w:type="dxa"/>
              <w:bottom w:w="0" w:type="dxa"/>
              <w:right w:w="108" w:type="dxa"/>
            </w:tcMar>
            <w:vAlign w:val="center"/>
          </w:tcPr>
          <w:p w:rsidR="008C56A8" w:rsidRPr="00E17D7C" w:rsidRDefault="008C56A8" w:rsidP="008057F0">
            <w:pPr>
              <w:pStyle w:val="Doc-corpsdetexte"/>
              <w:spacing w:after="0"/>
              <w:ind w:firstLine="0"/>
              <w:rPr>
                <w:b/>
              </w:rPr>
            </w:pPr>
            <w:r w:rsidRPr="00E17D7C">
              <w:rPr>
                <w:b/>
              </w:rPr>
              <w:t>Caractéristiques</w:t>
            </w:r>
          </w:p>
        </w:tc>
      </w:tr>
      <w:tr w:rsidR="008C56A8" w:rsidRPr="00E17D7C" w:rsidTr="00187FA3">
        <w:trPr>
          <w:cantSplit/>
          <w:trHeight w:val="235"/>
        </w:trPr>
        <w:tc>
          <w:tcPr>
            <w:tcW w:w="15451" w:type="dxa"/>
            <w:gridSpan w:val="3"/>
            <w:tcBorders>
              <w:top w:val="single" w:sz="4" w:space="0" w:color="000001"/>
              <w:left w:val="single" w:sz="4" w:space="0" w:color="000001"/>
              <w:bottom w:val="single" w:sz="4" w:space="0" w:color="CCC0D9" w:themeColor="accent4" w:themeTint="66"/>
              <w:right w:val="single" w:sz="4" w:space="0" w:color="000001"/>
            </w:tcBorders>
            <w:shd w:val="clear" w:color="auto" w:fill="E5DFEC" w:themeFill="accent4" w:themeFillTint="33"/>
            <w:tcMar>
              <w:top w:w="0" w:type="dxa"/>
              <w:left w:w="108" w:type="dxa"/>
              <w:bottom w:w="0" w:type="dxa"/>
              <w:right w:w="108" w:type="dxa"/>
            </w:tcMar>
            <w:vAlign w:val="center"/>
          </w:tcPr>
          <w:p w:rsidR="008C56A8" w:rsidRPr="00E17D7C" w:rsidRDefault="008C56A8" w:rsidP="00187FA3">
            <w:pPr>
              <w:pStyle w:val="Doc-corpsdetexte"/>
              <w:spacing w:after="0"/>
              <w:ind w:firstLine="0"/>
              <w:rPr>
                <w:i/>
              </w:rPr>
            </w:pPr>
            <w:r w:rsidRPr="00E17D7C">
              <w:rPr>
                <w:i/>
              </w:rPr>
              <w:t>Biocarburants de 1</w:t>
            </w:r>
            <w:r w:rsidRPr="00E17D7C">
              <w:rPr>
                <w:i/>
                <w:vertAlign w:val="superscript"/>
              </w:rPr>
              <w:t>ère</w:t>
            </w:r>
            <w:r w:rsidRPr="00E17D7C">
              <w:rPr>
                <w:i/>
              </w:rPr>
              <w:t xml:space="preserve"> génération – utilisation actuelle</w:t>
            </w:r>
          </w:p>
        </w:tc>
      </w:tr>
      <w:tr w:rsidR="008C56A8" w:rsidTr="00C35124">
        <w:trPr>
          <w:cantSplit/>
          <w:trHeight w:val="554"/>
        </w:trPr>
        <w:tc>
          <w:tcPr>
            <w:tcW w:w="3969" w:type="dxa"/>
            <w:tcBorders>
              <w:top w:val="single" w:sz="4" w:space="0" w:color="CCC0D9" w:themeColor="accent4" w:themeTint="66"/>
              <w:left w:val="single" w:sz="4" w:space="0" w:color="000001"/>
              <w:bottom w:val="single" w:sz="4" w:space="0" w:color="CCC0D9" w:themeColor="accent4" w:themeTint="66"/>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Colza, tournesol</w:t>
            </w:r>
          </w:p>
        </w:tc>
        <w:tc>
          <w:tcPr>
            <w:tcW w:w="1418"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Biodiesel</w:t>
            </w:r>
          </w:p>
        </w:tc>
        <w:tc>
          <w:tcPr>
            <w:tcW w:w="10064" w:type="dxa"/>
            <w:vMerge w:val="restart"/>
            <w:tcBorders>
              <w:top w:val="single" w:sz="4" w:space="0" w:color="CCC0D9" w:themeColor="accent4" w:themeTint="66"/>
              <w:left w:val="single" w:sz="4" w:space="0" w:color="CCC0D9" w:themeColor="accent4" w:themeTint="66"/>
              <w:bottom w:val="single" w:sz="4" w:space="0" w:color="E5DFEC" w:themeColor="accent4" w:themeTint="33"/>
              <w:right w:val="single" w:sz="4" w:space="0" w:color="000001"/>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En compétition avec la production alimentaire</w:t>
            </w:r>
          </w:p>
          <w:p w:rsidR="008C56A8" w:rsidRDefault="008C56A8" w:rsidP="00187FA3">
            <w:pPr>
              <w:pStyle w:val="Doc-corpsdetexte"/>
              <w:spacing w:after="0"/>
              <w:ind w:firstLine="0"/>
            </w:pPr>
            <w:r>
              <w:t>Bilan environnemental positif à la consommation, difficile à estimer sur l’ensemble de la filière</w:t>
            </w:r>
          </w:p>
          <w:p w:rsidR="008C56A8" w:rsidRDefault="008C56A8" w:rsidP="00187FA3">
            <w:pPr>
              <w:pStyle w:val="Doc-corpsdetexte"/>
              <w:spacing w:after="0"/>
              <w:ind w:firstLine="0"/>
            </w:pPr>
            <w:r>
              <w:t>Seule une partie de la plante est exploitée</w:t>
            </w:r>
          </w:p>
        </w:tc>
      </w:tr>
      <w:tr w:rsidR="008C56A8" w:rsidTr="00C35124">
        <w:trPr>
          <w:cantSplit/>
          <w:trHeight w:val="553"/>
        </w:trPr>
        <w:tc>
          <w:tcPr>
            <w:tcW w:w="3969" w:type="dxa"/>
            <w:tcBorders>
              <w:top w:val="single" w:sz="4" w:space="0" w:color="CCC0D9" w:themeColor="accent4" w:themeTint="66"/>
              <w:left w:val="single" w:sz="4" w:space="0" w:color="000001"/>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Betterave, blé, maïs, pomme de terre</w:t>
            </w:r>
          </w:p>
        </w:tc>
        <w:tc>
          <w:tcPr>
            <w:tcW w:w="1418" w:type="dxa"/>
            <w:tcBorders>
              <w:top w:val="single" w:sz="4" w:space="0" w:color="CCC0D9" w:themeColor="accent4" w:themeTint="66"/>
              <w:left w:val="single" w:sz="4" w:space="0" w:color="CCC0D9" w:themeColor="accent4" w:themeTint="66"/>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Ethanol</w:t>
            </w:r>
          </w:p>
        </w:tc>
        <w:tc>
          <w:tcPr>
            <w:tcW w:w="10064" w:type="dxa"/>
            <w:vMerge/>
            <w:tcBorders>
              <w:top w:val="single" w:sz="4" w:space="0" w:color="E5DFEC" w:themeColor="accent4" w:themeTint="33"/>
              <w:left w:val="single" w:sz="4" w:space="0" w:color="CCC0D9" w:themeColor="accent4" w:themeTint="66"/>
              <w:bottom w:val="single" w:sz="4" w:space="0" w:color="auto"/>
              <w:right w:val="single" w:sz="4" w:space="0" w:color="000001"/>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p>
        </w:tc>
      </w:tr>
      <w:tr w:rsidR="008C56A8" w:rsidRPr="00E17D7C" w:rsidTr="00187FA3">
        <w:trPr>
          <w:cantSplit/>
        </w:trPr>
        <w:tc>
          <w:tcPr>
            <w:tcW w:w="15451" w:type="dxa"/>
            <w:gridSpan w:val="3"/>
            <w:tcBorders>
              <w:top w:val="single" w:sz="4" w:space="0" w:color="auto"/>
              <w:left w:val="single" w:sz="4" w:space="0" w:color="000001"/>
              <w:bottom w:val="single" w:sz="4" w:space="0" w:color="CCC0D9" w:themeColor="accent4" w:themeTint="66"/>
              <w:right w:val="single" w:sz="4" w:space="0" w:color="000001"/>
            </w:tcBorders>
            <w:shd w:val="clear" w:color="auto" w:fill="E5DFEC" w:themeFill="accent4" w:themeFillTint="33"/>
            <w:tcMar>
              <w:top w:w="0" w:type="dxa"/>
              <w:left w:w="108" w:type="dxa"/>
              <w:bottom w:w="0" w:type="dxa"/>
              <w:right w:w="108" w:type="dxa"/>
            </w:tcMar>
            <w:vAlign w:val="center"/>
          </w:tcPr>
          <w:p w:rsidR="008C56A8" w:rsidRPr="00E17D7C" w:rsidRDefault="008C56A8" w:rsidP="00187FA3">
            <w:pPr>
              <w:pStyle w:val="Doc-corpsdetexte"/>
              <w:spacing w:after="0"/>
              <w:ind w:firstLine="0"/>
              <w:rPr>
                <w:i/>
              </w:rPr>
            </w:pPr>
            <w:r w:rsidRPr="00E17D7C">
              <w:rPr>
                <w:i/>
              </w:rPr>
              <w:t>Biocarburants de 2</w:t>
            </w:r>
            <w:r w:rsidRPr="00E17D7C">
              <w:rPr>
                <w:i/>
                <w:vertAlign w:val="superscript"/>
              </w:rPr>
              <w:t>ème</w:t>
            </w:r>
            <w:r w:rsidRPr="00E17D7C">
              <w:rPr>
                <w:i/>
              </w:rPr>
              <w:t xml:space="preserve"> génération – en finalisation</w:t>
            </w:r>
          </w:p>
        </w:tc>
      </w:tr>
      <w:tr w:rsidR="008C56A8" w:rsidTr="00C35124">
        <w:trPr>
          <w:cantSplit/>
          <w:trHeight w:val="470"/>
        </w:trPr>
        <w:tc>
          <w:tcPr>
            <w:tcW w:w="3969" w:type="dxa"/>
            <w:tcBorders>
              <w:top w:val="single" w:sz="4" w:space="0" w:color="CCC0D9" w:themeColor="accent4" w:themeTint="66"/>
              <w:left w:val="single" w:sz="4" w:space="0" w:color="000001"/>
              <w:bottom w:val="single" w:sz="4" w:space="0" w:color="CCC0D9" w:themeColor="accent4" w:themeTint="66"/>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Résidus agricoles et forestiers</w:t>
            </w:r>
          </w:p>
        </w:tc>
        <w:tc>
          <w:tcPr>
            <w:tcW w:w="1418" w:type="dxa"/>
            <w:vMerge w:val="restart"/>
            <w:tcBorders>
              <w:top w:val="single" w:sz="4" w:space="0" w:color="CCC0D9" w:themeColor="accent4" w:themeTint="66"/>
              <w:left w:val="single" w:sz="4" w:space="0" w:color="CCC0D9" w:themeColor="accent4" w:themeTint="66"/>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Ethanol</w:t>
            </w:r>
          </w:p>
        </w:tc>
        <w:tc>
          <w:tcPr>
            <w:tcW w:w="10064" w:type="dxa"/>
            <w:vMerge w:val="restart"/>
            <w:tcBorders>
              <w:top w:val="single" w:sz="4" w:space="0" w:color="CCC0D9" w:themeColor="accent4" w:themeTint="66"/>
              <w:left w:val="single" w:sz="4" w:space="0" w:color="CCC0D9" w:themeColor="accent4" w:themeTint="66"/>
              <w:right w:val="single" w:sz="4" w:space="0" w:color="000001"/>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Exploitation de la source en entier</w:t>
            </w:r>
          </w:p>
        </w:tc>
      </w:tr>
      <w:tr w:rsidR="008C56A8" w:rsidTr="00C35124">
        <w:trPr>
          <w:cantSplit/>
          <w:trHeight w:val="470"/>
        </w:trPr>
        <w:tc>
          <w:tcPr>
            <w:tcW w:w="3969" w:type="dxa"/>
            <w:tcBorders>
              <w:top w:val="single" w:sz="4" w:space="0" w:color="CCC0D9" w:themeColor="accent4" w:themeTint="66"/>
              <w:left w:val="single" w:sz="4" w:space="0" w:color="000001"/>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Cultures dédiées à croissance rapide</w:t>
            </w:r>
          </w:p>
        </w:tc>
        <w:tc>
          <w:tcPr>
            <w:tcW w:w="1418" w:type="dxa"/>
            <w:vMerge/>
            <w:tcBorders>
              <w:top w:val="nil"/>
              <w:left w:val="single" w:sz="4" w:space="0" w:color="CCC0D9" w:themeColor="accent4" w:themeTint="66"/>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p>
        </w:tc>
        <w:tc>
          <w:tcPr>
            <w:tcW w:w="10064" w:type="dxa"/>
            <w:vMerge/>
            <w:tcBorders>
              <w:left w:val="single" w:sz="4" w:space="0" w:color="CCC0D9" w:themeColor="accent4" w:themeTint="66"/>
              <w:bottom w:val="single" w:sz="4" w:space="0" w:color="000001"/>
              <w:right w:val="single" w:sz="4" w:space="0" w:color="000001"/>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p>
        </w:tc>
      </w:tr>
      <w:tr w:rsidR="008C56A8" w:rsidRPr="00E17D7C" w:rsidTr="00187FA3">
        <w:trPr>
          <w:cantSplit/>
        </w:trPr>
        <w:tc>
          <w:tcPr>
            <w:tcW w:w="15451" w:type="dxa"/>
            <w:gridSpan w:val="3"/>
            <w:tcBorders>
              <w:left w:val="single" w:sz="4" w:space="0" w:color="000001"/>
              <w:bottom w:val="single" w:sz="4" w:space="0" w:color="CCC0D9" w:themeColor="accent4" w:themeTint="66"/>
              <w:right w:val="single" w:sz="4" w:space="0" w:color="000001"/>
            </w:tcBorders>
            <w:shd w:val="clear" w:color="auto" w:fill="E5DFEC" w:themeFill="accent4" w:themeFillTint="33"/>
            <w:tcMar>
              <w:top w:w="0" w:type="dxa"/>
              <w:left w:w="108" w:type="dxa"/>
              <w:bottom w:w="0" w:type="dxa"/>
              <w:right w:w="108" w:type="dxa"/>
            </w:tcMar>
            <w:vAlign w:val="center"/>
          </w:tcPr>
          <w:p w:rsidR="008C56A8" w:rsidRPr="00E17D7C" w:rsidRDefault="008C56A8" w:rsidP="00187FA3">
            <w:pPr>
              <w:pStyle w:val="Doc-corpsdetexte"/>
              <w:spacing w:after="0"/>
              <w:ind w:firstLine="0"/>
              <w:rPr>
                <w:i/>
              </w:rPr>
            </w:pPr>
            <w:r w:rsidRPr="00E17D7C">
              <w:rPr>
                <w:i/>
              </w:rPr>
              <w:t>Biocarburants de 3</w:t>
            </w:r>
            <w:r w:rsidRPr="00E17D7C">
              <w:rPr>
                <w:i/>
                <w:vertAlign w:val="superscript"/>
              </w:rPr>
              <w:t>ème</w:t>
            </w:r>
            <w:r w:rsidRPr="00E17D7C">
              <w:rPr>
                <w:i/>
              </w:rPr>
              <w:t xml:space="preserve"> génération – à l’étude</w:t>
            </w:r>
          </w:p>
        </w:tc>
      </w:tr>
      <w:tr w:rsidR="008C56A8" w:rsidTr="00C35124">
        <w:trPr>
          <w:cantSplit/>
          <w:trHeight w:val="372"/>
        </w:trPr>
        <w:tc>
          <w:tcPr>
            <w:tcW w:w="3969" w:type="dxa"/>
            <w:tcBorders>
              <w:top w:val="single" w:sz="4" w:space="0" w:color="CCC0D9" w:themeColor="accent4" w:themeTint="66"/>
              <w:left w:val="single" w:sz="4" w:space="0" w:color="000001"/>
              <w:bottom w:val="single" w:sz="4" w:space="0" w:color="CCC0D9" w:themeColor="accent4" w:themeTint="66"/>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Bactéries, microalgues</w:t>
            </w:r>
          </w:p>
        </w:tc>
        <w:tc>
          <w:tcPr>
            <w:tcW w:w="1418"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 xml:space="preserve">Biodiesel </w:t>
            </w:r>
          </w:p>
        </w:tc>
        <w:tc>
          <w:tcPr>
            <w:tcW w:w="10064"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000001"/>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3 à 6 fois plus d’huile que dans les graines de plantes</w:t>
            </w:r>
          </w:p>
        </w:tc>
      </w:tr>
      <w:tr w:rsidR="008C56A8" w:rsidTr="00C35124">
        <w:trPr>
          <w:cantSplit/>
          <w:trHeight w:val="371"/>
        </w:trPr>
        <w:tc>
          <w:tcPr>
            <w:tcW w:w="3969" w:type="dxa"/>
            <w:tcBorders>
              <w:top w:val="single" w:sz="4" w:space="0" w:color="CCC0D9" w:themeColor="accent4" w:themeTint="66"/>
              <w:left w:val="single" w:sz="4" w:space="0" w:color="000001"/>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 xml:space="preserve">Microalgues </w:t>
            </w:r>
          </w:p>
        </w:tc>
        <w:tc>
          <w:tcPr>
            <w:tcW w:w="1418" w:type="dxa"/>
            <w:tcBorders>
              <w:top w:val="single" w:sz="4" w:space="0" w:color="CCC0D9" w:themeColor="accent4" w:themeTint="66"/>
              <w:left w:val="single" w:sz="4" w:space="0" w:color="CCC0D9" w:themeColor="accent4" w:themeTint="66"/>
              <w:bottom w:val="single" w:sz="4" w:space="0" w:color="auto"/>
              <w:right w:val="single" w:sz="4" w:space="0" w:color="CCC0D9" w:themeColor="accent4" w:themeTint="66"/>
            </w:tcBorders>
            <w:shd w:val="clear" w:color="auto" w:fill="auto"/>
            <w:tcMar>
              <w:top w:w="0" w:type="dxa"/>
              <w:left w:w="108" w:type="dxa"/>
              <w:bottom w:w="0" w:type="dxa"/>
              <w:right w:w="108" w:type="dxa"/>
            </w:tcMar>
            <w:vAlign w:val="center"/>
          </w:tcPr>
          <w:p w:rsidR="008C56A8" w:rsidRDefault="008C56A8" w:rsidP="00187FA3">
            <w:pPr>
              <w:pStyle w:val="Doc-corpsdetexte"/>
              <w:spacing w:after="0"/>
              <w:ind w:firstLine="0"/>
            </w:pPr>
            <w:r>
              <w:t>Hydrogène</w:t>
            </w:r>
          </w:p>
        </w:tc>
        <w:tc>
          <w:tcPr>
            <w:tcW w:w="10064" w:type="dxa"/>
            <w:tcBorders>
              <w:top w:val="single" w:sz="4" w:space="0" w:color="CCC0D9" w:themeColor="accent4" w:themeTint="66"/>
              <w:left w:val="single" w:sz="4" w:space="0" w:color="CCC0D9" w:themeColor="accent4" w:themeTint="66"/>
              <w:bottom w:val="single" w:sz="4" w:space="0" w:color="auto"/>
              <w:right w:val="single" w:sz="4" w:space="0" w:color="000001"/>
            </w:tcBorders>
            <w:shd w:val="clear" w:color="auto" w:fill="auto"/>
            <w:tcMar>
              <w:top w:w="0" w:type="dxa"/>
              <w:left w:w="108" w:type="dxa"/>
              <w:bottom w:w="0" w:type="dxa"/>
              <w:right w:w="108" w:type="dxa"/>
            </w:tcMar>
            <w:vAlign w:val="center"/>
          </w:tcPr>
          <w:p w:rsidR="008C56A8" w:rsidRDefault="00C35124" w:rsidP="00C35124">
            <w:pPr>
              <w:pStyle w:val="Doc-corpsdetexte"/>
              <w:spacing w:after="0"/>
              <w:ind w:firstLine="0"/>
            </w:pPr>
            <w:r>
              <w:t>Nouveau carburant (chap. II.1.ii</w:t>
            </w:r>
            <w:r w:rsidR="008C56A8">
              <w:t xml:space="preserve"> p. </w:t>
            </w:r>
            <w:r>
              <w:t>5</w:t>
            </w:r>
            <w:r w:rsidR="008C56A8">
              <w:t>)</w:t>
            </w:r>
          </w:p>
        </w:tc>
      </w:tr>
    </w:tbl>
    <w:p w:rsidR="008C56A8" w:rsidRPr="00187FA3" w:rsidRDefault="00187FA3" w:rsidP="00E17D7C">
      <w:pPr>
        <w:pStyle w:val="Doc-corpsdetexte"/>
        <w:tabs>
          <w:tab w:val="right" w:pos="14855"/>
        </w:tabs>
        <w:rPr>
          <w:i/>
        </w:rPr>
      </w:pPr>
      <w:r>
        <w:tab/>
      </w:r>
      <w:r w:rsidR="00AE4333">
        <w:t>S</w:t>
      </w:r>
      <w:r w:rsidR="008C56A8" w:rsidRPr="00187FA3">
        <w:rPr>
          <w:i/>
        </w:rPr>
        <w:t>ource</w:t>
      </w:r>
      <w:r w:rsidR="00AE4333">
        <w:rPr>
          <w:i/>
        </w:rPr>
        <w:t>s</w:t>
      </w:r>
      <w:r w:rsidR="008C56A8" w:rsidRPr="00187FA3">
        <w:rPr>
          <w:i/>
        </w:rPr>
        <w:t xml:space="preserve"> : Observ’ER et Paris-Sud </w:t>
      </w:r>
      <w:r w:rsidR="008A5D78">
        <w:rPr>
          <w:i/>
        </w:rPr>
        <w:t>M</w:t>
      </w:r>
      <w:r w:rsidR="008C56A8" w:rsidRPr="00187FA3">
        <w:rPr>
          <w:i/>
        </w:rPr>
        <w:t>agazine</w:t>
      </w:r>
      <w:r w:rsidR="008A5D78">
        <w:rPr>
          <w:i/>
        </w:rPr>
        <w:t xml:space="preserve"> n°82</w:t>
      </w:r>
    </w:p>
    <w:p w:rsidR="008C56A8" w:rsidRPr="005E784E" w:rsidRDefault="00A454F2" w:rsidP="0087021C">
      <w:pPr>
        <w:pStyle w:val="Doc-titre4"/>
      </w:pPr>
      <w:r>
        <w:pict>
          <v:shape id="_x0000_s1627" type="#_x0000_t202" style="position:absolute;left:0;text-align:left;margin-left:-28.35pt;margin-top:7.65pt;width:27.7pt;height:44.85pt;z-index:252260352;mso-position-horizontal-relative:margin" fillcolor="#0080c0" strokeweight="1pt">
            <v:fill color2="#006646" rotate="t" angle="-90" focus="100%" type="gradient"/>
            <o:lock v:ext="edit" aspectratio="t"/>
            <v:textbox style="mso-next-textbox:#_x0000_s1627">
              <w:txbxContent>
                <w:p w:rsidR="009811EF" w:rsidRPr="00DD2F9B" w:rsidRDefault="009811EF" w:rsidP="00C911AC">
                  <w:pPr>
                    <w:jc w:val="center"/>
                    <w:rPr>
                      <w:rFonts w:ascii="Colonna MT" w:hAnsi="Colonna MT"/>
                      <w:b/>
                      <w:sz w:val="40"/>
                      <w:szCs w:val="40"/>
                    </w:rPr>
                  </w:pPr>
                  <w:r>
                    <w:rPr>
                      <w:rFonts w:ascii="Colonna MT" w:hAnsi="Colonna MT"/>
                      <w:b/>
                      <w:sz w:val="40"/>
                      <w:szCs w:val="40"/>
                    </w:rPr>
                    <w:t>N</w:t>
                  </w:r>
                </w:p>
              </w:txbxContent>
            </v:textbox>
            <w10:wrap anchorx="margin"/>
          </v:shape>
        </w:pict>
      </w:r>
      <w:bookmarkStart w:id="11" w:name="_Toc336593313"/>
      <w:r w:rsidR="008C56A8" w:rsidRPr="005E784E">
        <w:t>L’énergie nucléaire</w:t>
      </w:r>
      <w:r w:rsidR="008C56A8" w:rsidRPr="008057F0">
        <w:rPr>
          <w:rStyle w:val="Appeldenote"/>
          <w:u w:val="none"/>
        </w:rPr>
        <w:footnoteReference w:id="15"/>
      </w:r>
      <w:r w:rsidR="008C56A8" w:rsidRPr="008057F0">
        <w:rPr>
          <w:color w:val="00000A"/>
          <w:u w:val="none"/>
          <w:vertAlign w:val="superscript"/>
        </w:rPr>
        <w:t>,</w:t>
      </w:r>
      <w:r w:rsidR="008C56A8" w:rsidRPr="008057F0">
        <w:rPr>
          <w:rStyle w:val="Appeldenote"/>
          <w:u w:val="none"/>
        </w:rPr>
        <w:footnoteReference w:id="16"/>
      </w:r>
      <w:bookmarkEnd w:id="11"/>
    </w:p>
    <w:p w:rsidR="008C56A8" w:rsidRPr="005E784E" w:rsidRDefault="008C56A8" w:rsidP="009D7296">
      <w:pPr>
        <w:pStyle w:val="Doc-corpsdetexte"/>
      </w:pPr>
      <w:r w:rsidRPr="005E784E">
        <w:t>Les atomes se composent d’électrons et d’un noyau formé de nucléons : protons et neutrons. Les électrons sont chargés négativement, les protons positivement et les neutrons n’ont pas de charge. Le nombre de protons détermine l’élément chimique auquel appartient un atome : l’hydrogène</w:t>
      </w:r>
      <w:r>
        <w:t xml:space="preserve"> a 1 proton,</w:t>
      </w:r>
      <w:r w:rsidRPr="005E784E">
        <w:t xml:space="preserve"> le carbone </w:t>
      </w:r>
      <w:r>
        <w:t>en a 6,</w:t>
      </w:r>
      <w:r w:rsidRPr="005E784E">
        <w:t xml:space="preserve"> l’oxygène 8</w:t>
      </w:r>
      <w:r>
        <w:t>…</w:t>
      </w:r>
      <w:r w:rsidRPr="005E784E">
        <w:t xml:space="preserve"> Le nombre total de nucléons définit un isotope : un atome de carbone avec 6 neutrons est la forme </w:t>
      </w:r>
      <w:r w:rsidRPr="005E784E">
        <w:rPr>
          <w:vertAlign w:val="superscript"/>
        </w:rPr>
        <w:t>12</w:t>
      </w:r>
      <w:r w:rsidRPr="005E784E">
        <w:t>C (carbone</w:t>
      </w:r>
      <w:r w:rsidRPr="005E784E">
        <w:rPr>
          <w:i/>
          <w:iCs/>
        </w:rPr>
        <w:t>12</w:t>
      </w:r>
      <w:r w:rsidRPr="005E784E">
        <w:t xml:space="preserve">), un avec 8 neutrons est la forme </w:t>
      </w:r>
      <w:r w:rsidRPr="005E784E">
        <w:rPr>
          <w:vertAlign w:val="superscript"/>
        </w:rPr>
        <w:t>14</w:t>
      </w:r>
      <w:r w:rsidRPr="005E784E">
        <w:t>C (carbone</w:t>
      </w:r>
      <w:r w:rsidRPr="005E784E">
        <w:rPr>
          <w:i/>
          <w:iCs/>
        </w:rPr>
        <w:t>14</w:t>
      </w:r>
      <w:r w:rsidRPr="005E784E">
        <w:t xml:space="preserve">). La force électrique permet </w:t>
      </w:r>
      <w:r>
        <w:t>l’attraction</w:t>
      </w:r>
      <w:r w:rsidRPr="005E784E">
        <w:t xml:space="preserve"> des charges opposées et provoque la répulsion des charges de même signes. Donc les protons, au sein du noyau, se repoussent. </w:t>
      </w:r>
      <w:r>
        <w:t>La cohésion du noyau se fait grâce à une force d’attraction entre les nucléons : l’interaction nucléaire forte, qui est plus forte que la répulsion électrique.</w:t>
      </w:r>
      <w:r w:rsidRPr="005E784E">
        <w:t xml:space="preserve"> </w:t>
      </w:r>
    </w:p>
    <w:p w:rsidR="008C56A8" w:rsidRPr="00C574F9" w:rsidRDefault="008C56A8" w:rsidP="009D7296">
      <w:pPr>
        <w:pStyle w:val="Doc-corpsdetexte"/>
        <w:rPr>
          <w:highlight w:val="lightGray"/>
        </w:rPr>
      </w:pPr>
      <w:r w:rsidRPr="005E784E">
        <w:t>La masse du noyau est inférieure à la somme des masses</w:t>
      </w:r>
      <w:r>
        <w:t xml:space="preserve"> de l’ensemble de ses nucléons. Ce « défaut de masse »</w:t>
      </w:r>
      <w:r w:rsidRPr="005E784E">
        <w:t xml:space="preserve"> dans le noyau</w:t>
      </w:r>
      <w:r>
        <w:t xml:space="preserve"> correspond à l’énergie de liaison des nucléons,</w:t>
      </w:r>
      <w:r w:rsidRPr="005E784E">
        <w:t xml:space="preserve"> plus importante dans les atomes de masse moyenne que </w:t>
      </w:r>
      <w:r>
        <w:t>dans</w:t>
      </w:r>
      <w:r w:rsidRPr="005E784E">
        <w:t xml:space="preserve"> les atomes légers ou lourds. </w:t>
      </w:r>
      <w:r>
        <w:t>T</w:t>
      </w:r>
      <w:r w:rsidRPr="005E784E">
        <w:t xml:space="preserve">oute création d’atomes moyens à partir d’atomes légers ou d’atomes lourds </w:t>
      </w:r>
      <w:r>
        <w:t>augmente le</w:t>
      </w:r>
      <w:r w:rsidRPr="005E784E">
        <w:t xml:space="preserve"> défaut de masse, réaction qui libère de </w:t>
      </w:r>
      <w:r>
        <w:t>l’énergie</w:t>
      </w:r>
      <w:r w:rsidRPr="005E784E">
        <w:t>. Pour créer des atomes de masse moyenne, il faut fissionner des noyaux d’atomes lourds</w:t>
      </w:r>
      <w:r>
        <w:t xml:space="preserve"> (fission nucléaire)</w:t>
      </w:r>
      <w:r w:rsidRPr="005E784E">
        <w:t xml:space="preserve"> ou fusionner des noyaux d’atomes légers</w:t>
      </w:r>
      <w:r>
        <w:t xml:space="preserve"> (fusion nucléaire), ce qui nécessite un apport initial d’énergie très élevé.</w:t>
      </w:r>
    </w:p>
    <w:p w:rsidR="008C56A8" w:rsidRPr="004E44A5" w:rsidRDefault="008C56A8" w:rsidP="00ED01D5">
      <w:pPr>
        <w:pStyle w:val="Doc-titre5"/>
        <w:rPr>
          <w:b/>
        </w:rPr>
      </w:pPr>
      <w:r w:rsidRPr="00C911AC">
        <w:rPr>
          <w:b/>
          <w:color w:val="003399"/>
        </w:rPr>
        <w:lastRenderedPageBreak/>
        <w:t>Fission nucléaire</w:t>
      </w:r>
      <w:r>
        <w:rPr>
          <w:b/>
        </w:rPr>
        <w:t xml:space="preserve"> </w:t>
      </w:r>
      <w:r w:rsidRPr="004E44A5">
        <w:t>– utilisation actuelle</w:t>
      </w:r>
    </w:p>
    <w:tbl>
      <w:tblPr>
        <w:tblStyle w:val="Grilledutableau"/>
        <w:tblW w:w="103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tblPr>
      <w:tblGrid>
        <w:gridCol w:w="2079"/>
        <w:gridCol w:w="2127"/>
        <w:gridCol w:w="2268"/>
        <w:gridCol w:w="2268"/>
        <w:gridCol w:w="1181"/>
        <w:gridCol w:w="378"/>
      </w:tblGrid>
      <w:tr w:rsidR="008C56A8" w:rsidRPr="00C574F9" w:rsidTr="003351B3">
        <w:trPr>
          <w:jc w:val="center"/>
        </w:trPr>
        <w:tc>
          <w:tcPr>
            <w:tcW w:w="2079" w:type="dxa"/>
            <w:vAlign w:val="center"/>
          </w:tcPr>
          <w:p w:rsidR="008C56A8" w:rsidRPr="003351B3" w:rsidRDefault="00A454F2" w:rsidP="003351B3">
            <w:pPr>
              <w:pStyle w:val="Doc-corpsdetexte"/>
              <w:ind w:firstLine="0"/>
              <w:rPr>
                <w:color w:val="008000"/>
              </w:rPr>
            </w:pPr>
            <w:r w:rsidRPr="00A454F2">
              <w:rPr>
                <w:b/>
                <w:noProof/>
                <w:color w:val="008000"/>
                <w:lang w:eastAsia="fr-FR" w:bidi="ar-SA"/>
              </w:rPr>
              <w:pict>
                <v:shape id="_x0000_s1471" type="#_x0000_t32" style="position:absolute;left:0;text-align:left;margin-left:89pt;margin-top:10.75pt;width:12.9pt;height:.05pt;z-index:252129280" o:connectortype="straight" strokecolor="#c00000">
                  <v:stroke endarrow="block"/>
                </v:shape>
              </w:pict>
            </w:r>
            <w:r w:rsidR="008C56A8" w:rsidRPr="003351B3">
              <w:rPr>
                <w:color w:val="008000"/>
              </w:rPr>
              <w:t xml:space="preserve">Energie nucléaire </w:t>
            </w:r>
          </w:p>
        </w:tc>
        <w:tc>
          <w:tcPr>
            <w:tcW w:w="2127" w:type="dxa"/>
            <w:vAlign w:val="center"/>
          </w:tcPr>
          <w:p w:rsidR="008C56A8" w:rsidRPr="003351B3" w:rsidRDefault="00A454F2" w:rsidP="003351B3">
            <w:pPr>
              <w:pStyle w:val="Doc-corpsdetexte"/>
              <w:ind w:firstLine="0"/>
              <w:rPr>
                <w:color w:val="C00000"/>
              </w:rPr>
            </w:pPr>
            <w:r w:rsidRPr="00A454F2">
              <w:rPr>
                <w:b/>
                <w:noProof/>
                <w:color w:val="C00000"/>
                <w:lang w:eastAsia="fr-FR" w:bidi="ar-SA"/>
              </w:rPr>
              <w:pict>
                <v:shape id="_x0000_s1472" type="#_x0000_t32" style="position:absolute;left:0;text-align:left;margin-left:89.15pt;margin-top:10.75pt;width:12.9pt;height:.05pt;z-index:252130304;mso-position-horizontal-relative:text;mso-position-vertical-relative:text" o:connectortype="straight" strokecolor="#c00000">
                  <v:stroke endarrow="block"/>
                </v:shape>
              </w:pict>
            </w:r>
            <w:r w:rsidR="008C56A8" w:rsidRPr="003351B3">
              <w:rPr>
                <w:color w:val="C00000"/>
              </w:rPr>
              <w:t xml:space="preserve">Energie de fission </w:t>
            </w:r>
          </w:p>
        </w:tc>
        <w:tc>
          <w:tcPr>
            <w:tcW w:w="2268" w:type="dxa"/>
            <w:vAlign w:val="center"/>
          </w:tcPr>
          <w:p w:rsidR="008C56A8" w:rsidRPr="003351B3" w:rsidRDefault="00A454F2" w:rsidP="003351B3">
            <w:pPr>
              <w:pStyle w:val="Doc-corpsdetexte"/>
              <w:ind w:firstLine="0"/>
              <w:rPr>
                <w:color w:val="C00000"/>
              </w:rPr>
            </w:pPr>
            <w:r w:rsidRPr="00A454F2">
              <w:rPr>
                <w:b/>
                <w:noProof/>
                <w:color w:val="C00000"/>
                <w:lang w:eastAsia="fr-FR" w:bidi="ar-SA"/>
              </w:rPr>
              <w:pict>
                <v:shape id="_x0000_s1473" type="#_x0000_t32" style="position:absolute;left:0;text-align:left;margin-left:95.4pt;margin-top:9.9pt;width:12.9pt;height:.05pt;z-index:252131328;mso-position-horizontal-relative:text;mso-position-vertical-relative:text" o:connectortype="straight" strokecolor="#c00000">
                  <v:stroke endarrow="block"/>
                </v:shape>
              </w:pict>
            </w:r>
            <w:r w:rsidR="008C56A8" w:rsidRPr="003351B3">
              <w:rPr>
                <w:color w:val="C00000"/>
              </w:rPr>
              <w:t>Energie thermique</w:t>
            </w:r>
          </w:p>
        </w:tc>
        <w:tc>
          <w:tcPr>
            <w:tcW w:w="2268" w:type="dxa"/>
            <w:vAlign w:val="center"/>
          </w:tcPr>
          <w:p w:rsidR="008C56A8" w:rsidRPr="003351B3" w:rsidRDefault="00A454F2" w:rsidP="003351B3">
            <w:pPr>
              <w:pStyle w:val="Doc-corpsdetexte"/>
              <w:ind w:firstLine="0"/>
              <w:rPr>
                <w:color w:val="C00000"/>
              </w:rPr>
            </w:pPr>
            <w:r w:rsidRPr="00A454F2">
              <w:rPr>
                <w:b/>
                <w:noProof/>
                <w:color w:val="C00000"/>
                <w:lang w:eastAsia="fr-FR" w:bidi="ar-SA"/>
              </w:rPr>
              <w:pict>
                <v:shape id="_x0000_s1475" type="#_x0000_t32" style="position:absolute;left:0;text-align:left;margin-left:96pt;margin-top:10.65pt;width:12.9pt;height:.05pt;z-index:252133376;mso-position-horizontal-relative:text;mso-position-vertical-relative:text" o:connectortype="straight" strokecolor="#c00000">
                  <v:stroke endarrow="block"/>
                </v:shape>
              </w:pict>
            </w:r>
            <w:r w:rsidR="008C56A8" w:rsidRPr="003351B3">
              <w:rPr>
                <w:color w:val="C00000"/>
              </w:rPr>
              <w:t>Energie mécanique</w:t>
            </w:r>
          </w:p>
        </w:tc>
        <w:tc>
          <w:tcPr>
            <w:tcW w:w="1181" w:type="dxa"/>
            <w:vAlign w:val="center"/>
          </w:tcPr>
          <w:p w:rsidR="008C56A8" w:rsidRPr="003351B3" w:rsidRDefault="00A454F2" w:rsidP="003351B3">
            <w:pPr>
              <w:pStyle w:val="Doc-corpsdetexte"/>
              <w:ind w:firstLine="0"/>
              <w:rPr>
                <w:color w:val="C00000"/>
              </w:rPr>
            </w:pPr>
            <w:r w:rsidRPr="00A454F2">
              <w:rPr>
                <w:b/>
                <w:noProof/>
                <w:color w:val="C00000"/>
                <w:lang w:eastAsia="fr-FR" w:bidi="ar-SA"/>
              </w:rPr>
              <w:pict>
                <v:shape id="_x0000_s1474" type="#_x0000_t32" style="position:absolute;left:0;text-align:left;margin-left:52.15pt;margin-top:10.8pt;width:12.9pt;height:.05pt;z-index:252132352;mso-position-horizontal-relative:text;mso-position-vertical-relative:text" o:connectortype="straight" strokecolor="#c00000">
                  <v:stroke endarrow="block"/>
                </v:shape>
              </w:pict>
            </w:r>
            <w:r w:rsidR="008C56A8" w:rsidRPr="003351B3">
              <w:rPr>
                <w:color w:val="C00000"/>
              </w:rPr>
              <w:t>Electricité</w:t>
            </w:r>
          </w:p>
        </w:tc>
        <w:tc>
          <w:tcPr>
            <w:tcW w:w="378" w:type="dxa"/>
            <w:vAlign w:val="center"/>
          </w:tcPr>
          <w:p w:rsidR="008C56A8" w:rsidRPr="003351B3" w:rsidRDefault="008C56A8" w:rsidP="003351B3">
            <w:pPr>
              <w:pStyle w:val="Doc-corpsdetexte"/>
              <w:ind w:firstLine="0"/>
              <w:jc w:val="right"/>
              <w:rPr>
                <w:color w:val="C00000"/>
              </w:rPr>
            </w:pPr>
            <w:r w:rsidRPr="003351B3">
              <w:rPr>
                <w:color w:val="C00000"/>
              </w:rPr>
              <w:t>…</w:t>
            </w:r>
          </w:p>
        </w:tc>
      </w:tr>
    </w:tbl>
    <w:p w:rsidR="008C56A8" w:rsidRPr="00E422B1" w:rsidRDefault="008C56A8" w:rsidP="009D7296">
      <w:pPr>
        <w:pStyle w:val="Doc-corpsdetexte"/>
      </w:pPr>
      <w:r>
        <w:t xml:space="preserve">Lors du processus de fission induite, un noyau lourd dit fissile (ou fissible) est bombardé par un neutron. Ce projectile peut atteindre le noyau sans être soumis à la force électrique, et casse sa cible en deux noyaux plus légers. La fission libère de l’énergie et des neutrons : une réaction en chaîne se met en place. L’industrie utilise l’uranium (U) comme combustible. Il s’agit d’un élément radioactif composé à </w:t>
      </w:r>
      <w:r w:rsidRPr="00E422B1">
        <w:t>99,3 % d’</w:t>
      </w:r>
      <w:r w:rsidRPr="00E422B1">
        <w:rPr>
          <w:vertAlign w:val="superscript"/>
        </w:rPr>
        <w:t>238</w:t>
      </w:r>
      <w:r w:rsidRPr="00E422B1">
        <w:t>U et 0,7 % d’</w:t>
      </w:r>
      <w:r w:rsidRPr="00E422B1">
        <w:rPr>
          <w:vertAlign w:val="superscript"/>
        </w:rPr>
        <w:t>235</w:t>
      </w:r>
      <w:r w:rsidRPr="00E422B1">
        <w:t>U</w:t>
      </w:r>
      <w:r>
        <w:t>. Comme seul l’</w:t>
      </w:r>
      <w:r w:rsidRPr="00E422B1">
        <w:rPr>
          <w:vertAlign w:val="superscript"/>
        </w:rPr>
        <w:t>235</w:t>
      </w:r>
      <w:r w:rsidRPr="00E422B1">
        <w:t>U</w:t>
      </w:r>
      <w:r>
        <w:t xml:space="preserve"> est fissile, le combustible est enrichi en cet isotope. </w:t>
      </w:r>
      <w:r w:rsidRPr="00E422B1">
        <w:t>L’</w:t>
      </w:r>
      <w:r w:rsidRPr="00E422B1">
        <w:rPr>
          <w:vertAlign w:val="superscript"/>
        </w:rPr>
        <w:t>235</w:t>
      </w:r>
      <w:r>
        <w:t>U fissionne et</w:t>
      </w:r>
      <w:r w:rsidRPr="00E422B1">
        <w:t xml:space="preserve"> l’</w:t>
      </w:r>
      <w:r w:rsidRPr="00270F27">
        <w:rPr>
          <w:vertAlign w:val="superscript"/>
        </w:rPr>
        <w:t>238</w:t>
      </w:r>
      <w:r w:rsidRPr="00E422B1">
        <w:t xml:space="preserve">U </w:t>
      </w:r>
      <w:r>
        <w:t xml:space="preserve">absorbe un neutron, créant du </w:t>
      </w:r>
      <w:r w:rsidRPr="00E422B1">
        <w:t>plutonium</w:t>
      </w:r>
      <w:r w:rsidRPr="00E422B1">
        <w:rPr>
          <w:i/>
        </w:rPr>
        <w:t>239</w:t>
      </w:r>
      <w:r>
        <w:rPr>
          <w:i/>
        </w:rPr>
        <w:t xml:space="preserve"> </w:t>
      </w:r>
      <w:r w:rsidRPr="003B09FE">
        <w:t>(</w:t>
      </w:r>
      <w:r w:rsidRPr="003B09FE">
        <w:rPr>
          <w:vertAlign w:val="superscript"/>
        </w:rPr>
        <w:t>239</w:t>
      </w:r>
      <w:r w:rsidRPr="003B09FE">
        <w:t>Pu)</w:t>
      </w:r>
      <w:r w:rsidRPr="00E422B1">
        <w:t>, autre atome fissile</w:t>
      </w:r>
      <w:r>
        <w:t xml:space="preserve">. La fission induite est une énergie « sale » qui produit divers déchets </w:t>
      </w:r>
      <w:r w:rsidRPr="00E422B1">
        <w:t>radioactifs hautement toxiques (restes d’uranium et de p</w:t>
      </w:r>
      <w:r>
        <w:t xml:space="preserve">lutonium, produits de fission), </w:t>
      </w:r>
      <w:r w:rsidRPr="00E422B1">
        <w:t>stockés après vitrification</w:t>
      </w:r>
      <w:r>
        <w:t xml:space="preserve"> (</w:t>
      </w:r>
      <w:r w:rsidRPr="00E422B1">
        <w:t>insertion dans en verre résistant aux radiations</w:t>
      </w:r>
      <w:r>
        <w:t>). C’est aussi une énergie non renouvelable : l</w:t>
      </w:r>
      <w:r w:rsidRPr="00E422B1">
        <w:t>es réserves d’uranium ne sont pas assez nombreuses comparées à la consommation qui en est faite</w:t>
      </w:r>
      <w:r>
        <w:t xml:space="preserve">. </w:t>
      </w:r>
      <w:r w:rsidRPr="00E422B1">
        <w:t xml:space="preserve">Depuis 1991, la demande mondiale en uranium est supérieure à sa production, </w:t>
      </w:r>
      <w:r>
        <w:t>poussant</w:t>
      </w:r>
      <w:r w:rsidRPr="00E422B1">
        <w:t xml:space="preserve"> à la mise en place du recyclage des déchets : l’uranium et le plutonium sont récupérés, traités et intégrés à d</w:t>
      </w:r>
      <w:r>
        <w:t>u</w:t>
      </w:r>
      <w:r w:rsidRPr="00E422B1">
        <w:t xml:space="preserve"> combustible neuf. Ce recyclage permet de diminuer la toxicité des déchets vitrifiés et d’augmenter la longévité des ressources</w:t>
      </w:r>
      <w:r w:rsidRPr="00E422B1">
        <w:rPr>
          <w:rStyle w:val="Appelnotedebasdep"/>
        </w:rPr>
        <w:footnoteReference w:id="17"/>
      </w:r>
      <w:r w:rsidRPr="00E422B1">
        <w:t>.</w:t>
      </w:r>
      <w:r>
        <w:t xml:space="preserve"> Origine rocheuse de l’uranium, déchets radioactifs et source non renouvelable valent parfois le nom d’énergie fossile à l’énergie de fission induite.</w:t>
      </w:r>
    </w:p>
    <w:p w:rsidR="008C56A8" w:rsidRPr="004B02AA" w:rsidRDefault="00F61533" w:rsidP="009D7296">
      <w:pPr>
        <w:pStyle w:val="Doc-corpsdetexte"/>
      </w:pPr>
      <w:r>
        <w:t>[</w:t>
      </w:r>
      <w:r w:rsidR="008C56A8">
        <w:t xml:space="preserve">NB : les éléments radioactifs sont des atomes dont le noyau, instable (cohésion entre les nucléons insuffisante), se fissionne spontanément jusqu’à former un noyau stable. Par exemple, </w:t>
      </w:r>
      <w:r w:rsidR="008C56A8" w:rsidRPr="00E422B1">
        <w:t>l’</w:t>
      </w:r>
      <w:r w:rsidR="008C56A8" w:rsidRPr="00E422B1">
        <w:rPr>
          <w:vertAlign w:val="superscript"/>
        </w:rPr>
        <w:t>238</w:t>
      </w:r>
      <w:r w:rsidR="008C56A8">
        <w:t>U</w:t>
      </w:r>
      <w:r w:rsidR="008C56A8" w:rsidRPr="00E422B1">
        <w:t xml:space="preserve"> se </w:t>
      </w:r>
      <w:r w:rsidR="008C56A8">
        <w:t>désintègre</w:t>
      </w:r>
      <w:r w:rsidR="008C56A8" w:rsidRPr="00E422B1">
        <w:t xml:space="preserve"> jusqu’à donner du plomb</w:t>
      </w:r>
      <w:r w:rsidR="008C56A8" w:rsidRPr="00E422B1">
        <w:rPr>
          <w:i/>
        </w:rPr>
        <w:t>206</w:t>
      </w:r>
      <w:r w:rsidR="008C56A8" w:rsidRPr="00E422B1">
        <w:t xml:space="preserve"> (</w:t>
      </w:r>
      <w:r w:rsidR="008C56A8" w:rsidRPr="00E422B1">
        <w:rPr>
          <w:vertAlign w:val="superscript"/>
        </w:rPr>
        <w:t>206</w:t>
      </w:r>
      <w:r w:rsidR="008C56A8" w:rsidRPr="00E422B1">
        <w:t>Pb</w:t>
      </w:r>
      <w:r w:rsidR="008C56A8">
        <w:t>). Fission induite et fission spontanée sont deux processus différents. Les atomes fissiles (qui se cassent par bombardement de neutron) sont généralement radioactifs, mais tous les éléments radioactifs ne sont pas fissiles.</w:t>
      </w:r>
      <w:r>
        <w:t>]</w:t>
      </w:r>
    </w:p>
    <w:p w:rsidR="008C56A8" w:rsidRPr="00246B42" w:rsidRDefault="008C56A8" w:rsidP="00ED01D5">
      <w:pPr>
        <w:pStyle w:val="Doc-titre5"/>
      </w:pPr>
      <w:r w:rsidRPr="00C911AC">
        <w:rPr>
          <w:b/>
          <w:color w:val="003399"/>
        </w:rPr>
        <w:t>Fusion nucléaire</w:t>
      </w:r>
      <w:r w:rsidRPr="00246B42">
        <w:t xml:space="preserve"> – à l’étude</w:t>
      </w:r>
    </w:p>
    <w:tbl>
      <w:tblPr>
        <w:tblStyle w:val="Grilledutableau"/>
        <w:tblW w:w="103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tblPr>
      <w:tblGrid>
        <w:gridCol w:w="2079"/>
        <w:gridCol w:w="2127"/>
        <w:gridCol w:w="2268"/>
        <w:gridCol w:w="2268"/>
        <w:gridCol w:w="1181"/>
        <w:gridCol w:w="378"/>
      </w:tblGrid>
      <w:tr w:rsidR="00030459" w:rsidRPr="00C574F9" w:rsidTr="009811EF">
        <w:trPr>
          <w:jc w:val="center"/>
        </w:trPr>
        <w:tc>
          <w:tcPr>
            <w:tcW w:w="2079" w:type="dxa"/>
            <w:vAlign w:val="center"/>
          </w:tcPr>
          <w:p w:rsidR="00030459" w:rsidRPr="003351B3" w:rsidRDefault="00A454F2" w:rsidP="009811EF">
            <w:pPr>
              <w:pStyle w:val="Doc-corpsdetexte"/>
              <w:ind w:firstLine="0"/>
              <w:rPr>
                <w:color w:val="008000"/>
              </w:rPr>
            </w:pPr>
            <w:r w:rsidRPr="00A454F2">
              <w:rPr>
                <w:b/>
                <w:noProof/>
                <w:color w:val="008000"/>
                <w:lang w:eastAsia="fr-FR" w:bidi="ar-SA"/>
              </w:rPr>
              <w:pict>
                <v:shape id="_x0000_s1628" type="#_x0000_t32" style="position:absolute;left:0;text-align:left;margin-left:89pt;margin-top:10.75pt;width:12.9pt;height:.05pt;z-index:252262400" o:connectortype="straight" strokecolor="#c00000">
                  <v:stroke endarrow="block"/>
                </v:shape>
              </w:pict>
            </w:r>
            <w:r w:rsidR="00030459" w:rsidRPr="003351B3">
              <w:rPr>
                <w:color w:val="008000"/>
              </w:rPr>
              <w:t xml:space="preserve">Energie nucléaire </w:t>
            </w:r>
          </w:p>
        </w:tc>
        <w:tc>
          <w:tcPr>
            <w:tcW w:w="2127" w:type="dxa"/>
            <w:vAlign w:val="center"/>
          </w:tcPr>
          <w:p w:rsidR="00030459" w:rsidRPr="003351B3" w:rsidRDefault="00A454F2" w:rsidP="00030459">
            <w:pPr>
              <w:pStyle w:val="Doc-corpsdetexte"/>
              <w:ind w:firstLine="0"/>
              <w:rPr>
                <w:color w:val="C00000"/>
              </w:rPr>
            </w:pPr>
            <w:r w:rsidRPr="00A454F2">
              <w:rPr>
                <w:b/>
                <w:noProof/>
                <w:color w:val="C00000"/>
                <w:lang w:eastAsia="fr-FR" w:bidi="ar-SA"/>
              </w:rPr>
              <w:pict>
                <v:shape id="_x0000_s1629" type="#_x0000_t32" style="position:absolute;left:0;text-align:left;margin-left:89.15pt;margin-top:10.75pt;width:12.9pt;height:.05pt;z-index:252263424;mso-position-horizontal-relative:text;mso-position-vertical-relative:text" o:connectortype="straight" strokecolor="#c00000">
                  <v:stroke endarrow="block"/>
                </v:shape>
              </w:pict>
            </w:r>
            <w:r w:rsidR="00030459" w:rsidRPr="003351B3">
              <w:rPr>
                <w:color w:val="C00000"/>
              </w:rPr>
              <w:t xml:space="preserve">Energie de </w:t>
            </w:r>
            <w:r w:rsidR="00030459">
              <w:rPr>
                <w:color w:val="C00000"/>
              </w:rPr>
              <w:t>fusion</w:t>
            </w:r>
            <w:r w:rsidR="00030459" w:rsidRPr="003351B3">
              <w:rPr>
                <w:color w:val="C00000"/>
              </w:rPr>
              <w:t xml:space="preserve"> </w:t>
            </w:r>
          </w:p>
        </w:tc>
        <w:tc>
          <w:tcPr>
            <w:tcW w:w="2268" w:type="dxa"/>
            <w:vAlign w:val="center"/>
          </w:tcPr>
          <w:p w:rsidR="00030459" w:rsidRPr="003351B3" w:rsidRDefault="00A454F2" w:rsidP="009811EF">
            <w:pPr>
              <w:pStyle w:val="Doc-corpsdetexte"/>
              <w:ind w:firstLine="0"/>
              <w:rPr>
                <w:color w:val="C00000"/>
              </w:rPr>
            </w:pPr>
            <w:r w:rsidRPr="00A454F2">
              <w:rPr>
                <w:b/>
                <w:noProof/>
                <w:color w:val="C00000"/>
                <w:lang w:eastAsia="fr-FR" w:bidi="ar-SA"/>
              </w:rPr>
              <w:pict>
                <v:shape id="_x0000_s1630" type="#_x0000_t32" style="position:absolute;left:0;text-align:left;margin-left:95.4pt;margin-top:9.9pt;width:12.9pt;height:.05pt;z-index:252264448;mso-position-horizontal-relative:text;mso-position-vertical-relative:text" o:connectortype="straight" strokecolor="#c00000">
                  <v:stroke endarrow="block"/>
                </v:shape>
              </w:pict>
            </w:r>
            <w:r w:rsidR="00030459" w:rsidRPr="003351B3">
              <w:rPr>
                <w:color w:val="C00000"/>
              </w:rPr>
              <w:t>Energie thermique</w:t>
            </w:r>
          </w:p>
        </w:tc>
        <w:tc>
          <w:tcPr>
            <w:tcW w:w="2268" w:type="dxa"/>
            <w:vAlign w:val="center"/>
          </w:tcPr>
          <w:p w:rsidR="00030459" w:rsidRPr="003351B3" w:rsidRDefault="00A454F2" w:rsidP="009811EF">
            <w:pPr>
              <w:pStyle w:val="Doc-corpsdetexte"/>
              <w:ind w:firstLine="0"/>
              <w:rPr>
                <w:color w:val="C00000"/>
              </w:rPr>
            </w:pPr>
            <w:r w:rsidRPr="00A454F2">
              <w:rPr>
                <w:b/>
                <w:noProof/>
                <w:color w:val="C00000"/>
                <w:lang w:eastAsia="fr-FR" w:bidi="ar-SA"/>
              </w:rPr>
              <w:pict>
                <v:shape id="_x0000_s1632" type="#_x0000_t32" style="position:absolute;left:0;text-align:left;margin-left:96pt;margin-top:10.65pt;width:12.9pt;height:.05pt;z-index:252266496;mso-position-horizontal-relative:text;mso-position-vertical-relative:text" o:connectortype="straight" strokecolor="#c00000">
                  <v:stroke endarrow="block"/>
                </v:shape>
              </w:pict>
            </w:r>
            <w:r w:rsidR="00030459" w:rsidRPr="003351B3">
              <w:rPr>
                <w:color w:val="C00000"/>
              </w:rPr>
              <w:t>Energie mécanique</w:t>
            </w:r>
          </w:p>
        </w:tc>
        <w:tc>
          <w:tcPr>
            <w:tcW w:w="1181" w:type="dxa"/>
            <w:vAlign w:val="center"/>
          </w:tcPr>
          <w:p w:rsidR="00030459" w:rsidRPr="003351B3" w:rsidRDefault="00A454F2" w:rsidP="009811EF">
            <w:pPr>
              <w:pStyle w:val="Doc-corpsdetexte"/>
              <w:ind w:firstLine="0"/>
              <w:rPr>
                <w:color w:val="C00000"/>
              </w:rPr>
            </w:pPr>
            <w:r w:rsidRPr="00A454F2">
              <w:rPr>
                <w:b/>
                <w:noProof/>
                <w:color w:val="C00000"/>
                <w:lang w:eastAsia="fr-FR" w:bidi="ar-SA"/>
              </w:rPr>
              <w:pict>
                <v:shape id="_x0000_s1631" type="#_x0000_t32" style="position:absolute;left:0;text-align:left;margin-left:52.15pt;margin-top:10.8pt;width:12.9pt;height:.05pt;z-index:252265472;mso-position-horizontal-relative:text;mso-position-vertical-relative:text" o:connectortype="straight" strokecolor="#c00000">
                  <v:stroke endarrow="block"/>
                </v:shape>
              </w:pict>
            </w:r>
            <w:r w:rsidR="00030459" w:rsidRPr="003351B3">
              <w:rPr>
                <w:color w:val="C00000"/>
              </w:rPr>
              <w:t>Electricité</w:t>
            </w:r>
          </w:p>
        </w:tc>
        <w:tc>
          <w:tcPr>
            <w:tcW w:w="378" w:type="dxa"/>
            <w:vAlign w:val="center"/>
          </w:tcPr>
          <w:p w:rsidR="00030459" w:rsidRPr="003351B3" w:rsidRDefault="00030459" w:rsidP="009811EF">
            <w:pPr>
              <w:pStyle w:val="Doc-corpsdetexte"/>
              <w:ind w:firstLine="0"/>
              <w:jc w:val="right"/>
              <w:rPr>
                <w:color w:val="C00000"/>
              </w:rPr>
            </w:pPr>
            <w:r w:rsidRPr="003351B3">
              <w:rPr>
                <w:color w:val="C00000"/>
              </w:rPr>
              <w:t>…</w:t>
            </w:r>
          </w:p>
        </w:tc>
      </w:tr>
    </w:tbl>
    <w:p w:rsidR="008C56A8" w:rsidRDefault="008C56A8" w:rsidP="009D7296">
      <w:pPr>
        <w:pStyle w:val="Doc-corpsdetexte"/>
      </w:pPr>
      <w:r>
        <w:t xml:space="preserve">Dans le Soleil, noyaux d’hydrogène et d’hélium fusionnent avec un faible rendement. Ce processus </w:t>
      </w:r>
      <w:r w:rsidRPr="008037B4">
        <w:t>assure</w:t>
      </w:r>
      <w:r>
        <w:t xml:space="preserve"> de l’énergie à l’étoile</w:t>
      </w:r>
      <w:r w:rsidRPr="008037B4">
        <w:t xml:space="preserve"> </w:t>
      </w:r>
      <w:r>
        <w:t xml:space="preserve">pour </w:t>
      </w:r>
      <w:r w:rsidRPr="008037B4">
        <w:t>une durée de vie de 10 </w:t>
      </w:r>
      <w:r>
        <w:t>milliards d’années</w:t>
      </w:r>
      <w:r w:rsidRPr="008037B4">
        <w:t>.</w:t>
      </w:r>
    </w:p>
    <w:p w:rsidR="008C56A8" w:rsidRDefault="008C56A8" w:rsidP="009D7296">
      <w:pPr>
        <w:pStyle w:val="Doc-corpsdetexte"/>
        <w:rPr>
          <w:color w:val="000000"/>
        </w:rPr>
      </w:pPr>
      <w:r>
        <w:t>La voie de recherche actuelle est</w:t>
      </w:r>
      <w:r w:rsidRPr="00F4211D">
        <w:t xml:space="preserve"> la réaction de fusion </w:t>
      </w:r>
      <w:r>
        <w:t>ente</w:t>
      </w:r>
      <w:r w:rsidRPr="00F4211D">
        <w:t xml:space="preserve"> deux isotopes de l’hydrogène : le </w:t>
      </w:r>
      <w:r w:rsidRPr="007F5636">
        <w:rPr>
          <w:vertAlign w:val="superscript"/>
        </w:rPr>
        <w:t>2</w:t>
      </w:r>
      <w:r w:rsidRPr="00F4211D">
        <w:t xml:space="preserve">H (deutérium), abondant dans l’eau de mer, et le </w:t>
      </w:r>
      <w:r w:rsidRPr="007F5636">
        <w:rPr>
          <w:vertAlign w:val="superscript"/>
        </w:rPr>
        <w:t>3</w:t>
      </w:r>
      <w:r w:rsidRPr="00F4211D">
        <w:t xml:space="preserve">H (tritium), atome instable produit à partir du lithium. Dans cette réaction, seul le tritium est radioactif, mais très peu toxique. </w:t>
      </w:r>
      <w:r>
        <w:rPr>
          <w:color w:val="000000"/>
        </w:rPr>
        <w:t>Pour que</w:t>
      </w:r>
      <w:r w:rsidRPr="00F4211D">
        <w:rPr>
          <w:color w:val="000000"/>
        </w:rPr>
        <w:t xml:space="preserve"> les noyaux se rencontrent</w:t>
      </w:r>
      <w:r>
        <w:rPr>
          <w:color w:val="000000"/>
        </w:rPr>
        <w:t>, leur énergie cinétique doit dépasser</w:t>
      </w:r>
      <w:r w:rsidRPr="00F4211D">
        <w:rPr>
          <w:color w:val="000000"/>
        </w:rPr>
        <w:t xml:space="preserve"> la force de répulsion électrique provoquée par leurs charges positives. L’énergie cinétique </w:t>
      </w:r>
      <w:r>
        <w:rPr>
          <w:color w:val="000000"/>
        </w:rPr>
        <w:t>est</w:t>
      </w:r>
      <w:r w:rsidRPr="00F4211D">
        <w:rPr>
          <w:color w:val="000000"/>
        </w:rPr>
        <w:t xml:space="preserve"> communiquée aux atomes en les chauffant à une température de l'ordre de 100 </w:t>
      </w:r>
      <w:r>
        <w:rPr>
          <w:color w:val="000000"/>
        </w:rPr>
        <w:t xml:space="preserve">millions de degrés, température qu’il est impossible </w:t>
      </w:r>
      <w:r>
        <w:rPr>
          <w:color w:val="000000"/>
        </w:rPr>
        <w:lastRenderedPageBreak/>
        <w:t>de maintenir suffisamment longtemps avec les techniques actuelles.</w:t>
      </w:r>
      <w:r w:rsidRPr="00F4211D">
        <w:rPr>
          <w:color w:val="000000"/>
        </w:rPr>
        <w:t xml:space="preserve"> Les recherches portent sur les conditions permettant de réaliser la fusion nucléaire avec une dépense d’énergie moindre que celle récupérée lors de la réaction. Le réacteur ITER (International Thermonuclear Experimental Reactor – réacteur thermonucléaire expérimental international), en construction depuis 2007, permettra de poursuivre les études sur la fusion nucléaire. Une application industrielle ne sera</w:t>
      </w:r>
      <w:r>
        <w:rPr>
          <w:color w:val="000000"/>
        </w:rPr>
        <w:t>it</w:t>
      </w:r>
      <w:r w:rsidRPr="00F4211D">
        <w:rPr>
          <w:color w:val="000000"/>
        </w:rPr>
        <w:t xml:space="preserve"> envisageable que dans un délai de vingt ans</w:t>
      </w:r>
      <w:r>
        <w:rPr>
          <w:color w:val="000000"/>
        </w:rPr>
        <w:t xml:space="preserve"> après la mise en fonction d’</w:t>
      </w:r>
      <w:r w:rsidRPr="00F4211D">
        <w:rPr>
          <w:color w:val="000000"/>
        </w:rPr>
        <w:t>ITER.</w:t>
      </w:r>
      <w:r>
        <w:rPr>
          <w:color w:val="000000"/>
        </w:rPr>
        <w:t xml:space="preserve"> </w:t>
      </w:r>
    </w:p>
    <w:p w:rsidR="008C56A8" w:rsidRDefault="008C56A8" w:rsidP="0087021C">
      <w:pPr>
        <w:pStyle w:val="Doc-titre4"/>
      </w:pPr>
      <w:bookmarkStart w:id="12" w:name="_Toc336593314"/>
      <w:r w:rsidRPr="00E329FA">
        <w:t>Quelques chiffres</w:t>
      </w:r>
      <w:bookmarkEnd w:id="12"/>
    </w:p>
    <w:p w:rsidR="008C56A8" w:rsidRDefault="008C56A8" w:rsidP="009D7296">
      <w:pPr>
        <w:pStyle w:val="Doc-corpsdetexte"/>
      </w:pPr>
      <w:r>
        <w:t>Depuis 2006, la consommation mondiale de pétrole brut est supérieure à sa production mondiale. On utilise les stocks réalisés auparavant</w:t>
      </w:r>
      <w:r>
        <w:rPr>
          <w:rStyle w:val="Appelnotedebasdep"/>
        </w:rPr>
        <w:footnoteReference w:id="18"/>
      </w:r>
      <w:r>
        <w:t>.</w:t>
      </w:r>
    </w:p>
    <w:p w:rsidR="00571DA2" w:rsidRDefault="008C56A8" w:rsidP="009D7296">
      <w:pPr>
        <w:pStyle w:val="Doc-corpsdetexte"/>
      </w:pPr>
      <w:r>
        <w:rPr>
          <w:noProof/>
          <w:lang w:eastAsia="fr-FR" w:bidi="ar-SA"/>
        </w:rPr>
        <w:drawing>
          <wp:anchor distT="0" distB="71755" distL="114300" distR="114300" simplePos="0" relativeHeight="252106752" behindDoc="0" locked="0" layoutInCell="1" allowOverlap="1">
            <wp:simplePos x="0" y="0"/>
            <wp:positionH relativeFrom="margin">
              <wp:align>center</wp:align>
            </wp:positionH>
            <wp:positionV relativeFrom="paragraph">
              <wp:posOffset>1071880</wp:posOffset>
            </wp:positionV>
            <wp:extent cx="6153150" cy="3105150"/>
            <wp:effectExtent l="0" t="0" r="0" b="0"/>
            <wp:wrapTopAndBottom/>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t>La conversion de l’énergie mécanique en électricité a un rendement de 98 %. Les pertes principales (sous forme de chaleur) sont dues à la conversion de l’énergie thermique en énergie mécanique, dont le rendement est de 30 à 40 % selon les températures mises en jeu. La rentabilité d’une source peut se mesure en fonction de la masse de matière nécessaire pour produire une même quantité d’électricité. Par exemple,  1 g de matière fissile nucléaire produit autant que 2 tonnes de pétrole (soit 24 000 kWh).</w:t>
      </w:r>
    </w:p>
    <w:p w:rsidR="00571DA2" w:rsidRDefault="00571DA2">
      <w:pPr>
        <w:widowControl/>
        <w:suppressAutoHyphens w:val="0"/>
        <w:rPr>
          <w:rFonts w:asciiTheme="minorHAnsi" w:hAnsiTheme="minorHAnsi" w:cs="Optima"/>
        </w:rPr>
      </w:pPr>
      <w:r>
        <w:br w:type="page"/>
      </w:r>
    </w:p>
    <w:p w:rsidR="008C56A8" w:rsidRPr="00E329FA" w:rsidRDefault="008C56A8" w:rsidP="00421E82">
      <w:pPr>
        <w:pStyle w:val="Doc-titre3"/>
      </w:pPr>
      <w:bookmarkStart w:id="13" w:name="_Toc336593315"/>
      <w:r w:rsidRPr="00E329FA">
        <w:lastRenderedPageBreak/>
        <w:t>L’impact environnemental</w:t>
      </w:r>
      <w:bookmarkEnd w:id="13"/>
    </w:p>
    <w:p w:rsidR="008C56A8" w:rsidRDefault="008C56A8" w:rsidP="009D7296">
      <w:pPr>
        <w:pStyle w:val="Doc-corpsdetexte"/>
      </w:pPr>
      <w:r>
        <w:t xml:space="preserve">L’épuisement des ressources n’est pas la seule raison qui pousse l’homme à trouver de nouvelles sources d’énergies. L’exploitation énergétique s’accompagne d’une pollution dont les impacts sur l’environnement deviennent aujourd’hui évidents : changement climatique, détérioration de la qualité de vie, destruction des écosystèmes... En plus d’être renouvelable, la source d’énergie idéale doit être propre : son impact sur l’environnement doit être le plus faible possible. </w:t>
      </w:r>
    </w:p>
    <w:p w:rsidR="008C56A8" w:rsidRPr="00E329FA" w:rsidRDefault="008C56A8" w:rsidP="0087021C">
      <w:pPr>
        <w:pStyle w:val="Doc-titre4"/>
      </w:pPr>
      <w:bookmarkStart w:id="14" w:name="_Toc336593316"/>
      <w:r w:rsidRPr="00E329FA">
        <w:t>Gaz à effet de serre et changement climatique</w:t>
      </w:r>
      <w:bookmarkEnd w:id="14"/>
    </w:p>
    <w:p w:rsidR="008C56A8" w:rsidRDefault="008C56A8" w:rsidP="009D7296">
      <w:pPr>
        <w:pStyle w:val="Doc-corpsdetexte"/>
      </w:pPr>
      <w:r>
        <w:t>L’effet de serre est un phénomène naturel vital, sans lequel la température à la surface de la Terre tomberait à -18 °C, température difficilement compatible avec l’apparition de la vie telle que nous la connaissons. Seule une partie du rayonnement solaire traverse l’atmosphère terrestre et réchauffe le sol. La surface terrestre renvoie la chaleur vers l’espace sous forme d’infrarouges. Les gaz à effet de serre qui composent l’atmosphère terrestre retiennent 95 % des infrarouges, qui, piégés, permettent le maintient de la température à la surface à 15°C en moyenne</w:t>
      </w:r>
      <w:r>
        <w:rPr>
          <w:rStyle w:val="Appelnotedebasdep"/>
          <w:color w:val="00000A"/>
        </w:rPr>
        <w:footnoteReference w:id="19"/>
      </w:r>
      <w:r>
        <w:t>.</w:t>
      </w:r>
    </w:p>
    <w:p w:rsidR="008C56A8" w:rsidRDefault="00A454F2" w:rsidP="009D7296">
      <w:pPr>
        <w:pStyle w:val="Doc-corpsdetexte"/>
      </w:pPr>
      <w:r>
        <w:rPr>
          <w:noProof/>
          <w:lang w:eastAsia="fr-FR" w:bidi="ar-SA"/>
        </w:rPr>
        <w:pict>
          <v:shape id="_x0000_s1641" type="#_x0000_t202" style="position:absolute;left:0;text-align:left;margin-left:-28.35pt;margin-top:4.3pt;width:27.7pt;height:44.85pt;z-index:252279808;mso-position-horizontal-relative:margin" fillcolor="#663" strokeweight="1pt">
            <v:fill color2="#cf6" rotate="t" angle="-90" focus="100%" type="gradient"/>
            <o:lock v:ext="edit" aspectratio="t"/>
            <v:textbox style="mso-next-textbox:#_x0000_s1641">
              <w:txbxContent>
                <w:p w:rsidR="009811EF" w:rsidRPr="00DD2F9B" w:rsidRDefault="009811EF" w:rsidP="00873144">
                  <w:pPr>
                    <w:jc w:val="center"/>
                    <w:rPr>
                      <w:rFonts w:ascii="Colonna MT" w:hAnsi="Colonna MT"/>
                      <w:b/>
                      <w:sz w:val="40"/>
                      <w:szCs w:val="40"/>
                    </w:rPr>
                  </w:pPr>
                  <w:r>
                    <w:rPr>
                      <w:rFonts w:ascii="Colonna MT" w:hAnsi="Colonna MT"/>
                      <w:b/>
                      <w:sz w:val="40"/>
                      <w:szCs w:val="40"/>
                    </w:rPr>
                    <w:t>F</w:t>
                  </w:r>
                </w:p>
              </w:txbxContent>
            </v:textbox>
            <w10:wrap anchorx="margin"/>
          </v:shape>
        </w:pict>
      </w:r>
      <w:r w:rsidR="008C56A8">
        <w:t>Parmi les gaz à effet de serre, on trouve le CO</w:t>
      </w:r>
      <w:r w:rsidR="008C56A8">
        <w:rPr>
          <w:vertAlign w:val="subscript"/>
        </w:rPr>
        <w:t>2</w:t>
      </w:r>
      <w:r w:rsidR="008C56A8">
        <w:t xml:space="preserve"> et le CH</w:t>
      </w:r>
      <w:r w:rsidR="008C56A8">
        <w:rPr>
          <w:vertAlign w:val="subscript"/>
        </w:rPr>
        <w:t>4</w:t>
      </w:r>
      <w:r w:rsidR="008C56A8">
        <w:t>. Leur impact environnemental est dû à l’augmentation trop rapide de leur concentration dans l’atmosphère, et aux changements climatiques qui en découlent depuis 1750, début de l’activité industrielle. Le CO</w:t>
      </w:r>
      <w:r w:rsidR="008C56A8">
        <w:rPr>
          <w:vertAlign w:val="subscript"/>
        </w:rPr>
        <w:t>2</w:t>
      </w:r>
      <w:r w:rsidR="008C56A8" w:rsidRPr="00700F77">
        <w:t xml:space="preserve"> </w:t>
      </w:r>
      <w:r w:rsidR="008C56A8">
        <w:t xml:space="preserve">provient pour 2/3 de la </w:t>
      </w:r>
      <w:r w:rsidR="008C56A8" w:rsidRPr="00D762DF">
        <w:t>combustion d’énergies fossiles et 1/3 de</w:t>
      </w:r>
      <w:r w:rsidR="008C56A8">
        <w:t xml:space="preserve"> la déforestation, le CH</w:t>
      </w:r>
      <w:r w:rsidR="008C56A8">
        <w:rPr>
          <w:vertAlign w:val="subscript"/>
        </w:rPr>
        <w:t>4</w:t>
      </w:r>
      <w:r w:rsidR="008C56A8">
        <w:t xml:space="preserve"> provient des décharges, de l’agriculture, des élevages et de l’industrie</w:t>
      </w:r>
      <w:r w:rsidR="008C56A8">
        <w:rPr>
          <w:rStyle w:val="Appeldenote"/>
        </w:rPr>
        <w:footnoteReference w:id="20"/>
      </w:r>
      <w:r w:rsidR="008C56A8">
        <w:t xml:space="preserve">. </w:t>
      </w:r>
    </w:p>
    <w:tbl>
      <w:tblPr>
        <w:tblW w:w="15309" w:type="dxa"/>
        <w:tblInd w:w="-557" w:type="dxa"/>
        <w:tblLayout w:type="fixed"/>
        <w:tblCellMar>
          <w:left w:w="10" w:type="dxa"/>
          <w:right w:w="10" w:type="dxa"/>
        </w:tblCellMar>
        <w:tblLook w:val="0000"/>
      </w:tblPr>
      <w:tblGrid>
        <w:gridCol w:w="2098"/>
        <w:gridCol w:w="5699"/>
        <w:gridCol w:w="567"/>
        <w:gridCol w:w="1736"/>
        <w:gridCol w:w="1736"/>
        <w:gridCol w:w="1736"/>
        <w:gridCol w:w="1737"/>
      </w:tblGrid>
      <w:tr w:rsidR="00AE2600" w:rsidTr="00AE2600">
        <w:trPr>
          <w:cantSplit/>
          <w:trHeight w:val="368"/>
        </w:trPr>
        <w:tc>
          <w:tcPr>
            <w:tcW w:w="2098" w:type="dxa"/>
            <w:vMerge w:val="restart"/>
            <w:shd w:val="clear" w:color="auto" w:fill="auto"/>
            <w:vAlign w:val="center"/>
          </w:tcPr>
          <w:p w:rsidR="00AE2600" w:rsidRDefault="00AE2600" w:rsidP="009811EF">
            <w:pPr>
              <w:pStyle w:val="Doc-corpsdetexte"/>
              <w:spacing w:after="0"/>
              <w:ind w:firstLine="0"/>
            </w:pPr>
          </w:p>
        </w:tc>
        <w:tc>
          <w:tcPr>
            <w:tcW w:w="5699" w:type="dxa"/>
            <w:vMerge w:val="restart"/>
            <w:tcBorders>
              <w:top w:val="single" w:sz="4" w:space="0" w:color="000000"/>
              <w:left w:val="single" w:sz="4" w:space="0" w:color="000000"/>
              <w:right w:val="single" w:sz="4" w:space="0" w:color="000000"/>
            </w:tcBorders>
            <w:shd w:val="clear" w:color="auto" w:fill="auto"/>
            <w:vAlign w:val="center"/>
          </w:tcPr>
          <w:p w:rsidR="00AE2600" w:rsidRPr="00EC6945" w:rsidRDefault="00A454F2" w:rsidP="00EC6945">
            <w:pPr>
              <w:pStyle w:val="Doc-corpsdetexte"/>
              <w:spacing w:after="0"/>
              <w:ind w:firstLine="0"/>
              <w:jc w:val="center"/>
              <w:rPr>
                <w:b/>
              </w:rPr>
            </w:pPr>
            <w:r>
              <w:rPr>
                <w:b/>
                <w:noProof/>
                <w:lang w:eastAsia="fr-FR" w:bidi="ar-SA"/>
              </w:rPr>
              <w:pict>
                <v:shape id="_x0000_s1640" type="#_x0000_t32" style="position:absolute;left:0;text-align:left;margin-left:278.25pt;margin-top:-4512615.15pt;width:0;height:420.75pt;z-index:252278784;mso-position-horizontal-relative:text;mso-position-vertical-relative:text" o:connectortype="straight"/>
              </w:pict>
            </w:r>
            <w:r w:rsidR="00AE2600" w:rsidRPr="00EC6945">
              <w:rPr>
                <w:b/>
              </w:rPr>
              <w:t>Quantité de CO</w:t>
            </w:r>
            <w:r w:rsidR="00AE2600" w:rsidRPr="00EC6945">
              <w:rPr>
                <w:b/>
                <w:vertAlign w:val="subscript"/>
              </w:rPr>
              <w:t>2</w:t>
            </w:r>
            <w:r w:rsidR="00AE2600" w:rsidRPr="00EC6945">
              <w:rPr>
                <w:b/>
              </w:rPr>
              <w:t xml:space="preserve"> dégagé pour</w:t>
            </w:r>
          </w:p>
          <w:p w:rsidR="00AE2600" w:rsidRDefault="00AE2600" w:rsidP="00EC6945">
            <w:pPr>
              <w:pStyle w:val="Doc-corpsdetexte"/>
              <w:spacing w:after="0"/>
              <w:ind w:firstLine="0"/>
              <w:jc w:val="center"/>
            </w:pPr>
            <w:r w:rsidRPr="00EC6945">
              <w:rPr>
                <w:b/>
              </w:rPr>
              <w:t>1 Giga Joule de chaleur produite</w:t>
            </w:r>
          </w:p>
        </w:tc>
        <w:tc>
          <w:tcPr>
            <w:tcW w:w="567" w:type="dxa"/>
            <w:vMerge w:val="restart"/>
            <w:tcBorders>
              <w:left w:val="single" w:sz="4" w:space="0" w:color="000000"/>
            </w:tcBorders>
          </w:tcPr>
          <w:p w:rsidR="00AE2600" w:rsidRPr="00C76BBA" w:rsidRDefault="00AE2600" w:rsidP="009811EF">
            <w:pPr>
              <w:pStyle w:val="Doc-corpsdetexte"/>
              <w:spacing w:after="0"/>
              <w:ind w:firstLine="0"/>
              <w:rPr>
                <w:noProof/>
                <w:lang w:eastAsia="fr-FR" w:bidi="ar-SA"/>
              </w:rPr>
            </w:pPr>
          </w:p>
        </w:tc>
        <w:tc>
          <w:tcPr>
            <w:tcW w:w="1736" w:type="dxa"/>
            <w:tcBorders>
              <w:bottom w:val="single" w:sz="4" w:space="0" w:color="003300"/>
            </w:tcBorders>
            <w:vAlign w:val="center"/>
          </w:tcPr>
          <w:p w:rsidR="00AE2600" w:rsidRPr="00EC6945" w:rsidRDefault="00AE2600" w:rsidP="00EC6945">
            <w:pPr>
              <w:pStyle w:val="Doc-corpsdetexte"/>
              <w:spacing w:after="0"/>
              <w:ind w:firstLine="0"/>
              <w:jc w:val="right"/>
              <w:rPr>
                <w:b/>
                <w:noProof/>
                <w:lang w:eastAsia="fr-FR" w:bidi="ar-SA"/>
              </w:rPr>
            </w:pPr>
          </w:p>
        </w:tc>
        <w:tc>
          <w:tcPr>
            <w:tcW w:w="1736" w:type="dxa"/>
            <w:tcBorders>
              <w:bottom w:val="single" w:sz="4" w:space="0" w:color="003300"/>
            </w:tcBorders>
            <w:vAlign w:val="center"/>
          </w:tcPr>
          <w:p w:rsidR="00AE2600" w:rsidRPr="00EC6945" w:rsidRDefault="00AE2600" w:rsidP="00EC6945">
            <w:pPr>
              <w:pStyle w:val="Doc-corpsdetexte"/>
              <w:spacing w:after="0"/>
              <w:ind w:firstLine="0"/>
              <w:jc w:val="right"/>
              <w:rPr>
                <w:b/>
                <w:noProof/>
                <w:lang w:eastAsia="fr-FR" w:bidi="ar-SA"/>
              </w:rPr>
            </w:pPr>
          </w:p>
        </w:tc>
        <w:tc>
          <w:tcPr>
            <w:tcW w:w="1736" w:type="dxa"/>
            <w:tcBorders>
              <w:bottom w:val="single" w:sz="4" w:space="0" w:color="003300"/>
            </w:tcBorders>
            <w:vAlign w:val="center"/>
          </w:tcPr>
          <w:p w:rsidR="00AE2600" w:rsidRPr="00EC6945" w:rsidRDefault="00AE2600" w:rsidP="00EC6945">
            <w:pPr>
              <w:pStyle w:val="Doc-corpsdetexte"/>
              <w:spacing w:after="0"/>
              <w:ind w:firstLine="0"/>
              <w:jc w:val="right"/>
              <w:rPr>
                <w:b/>
                <w:noProof/>
                <w:lang w:eastAsia="fr-FR" w:bidi="ar-SA"/>
              </w:rPr>
            </w:pPr>
          </w:p>
        </w:tc>
        <w:tc>
          <w:tcPr>
            <w:tcW w:w="1737" w:type="dxa"/>
            <w:tcBorders>
              <w:bottom w:val="single" w:sz="4" w:space="0" w:color="003300"/>
            </w:tcBorders>
            <w:vAlign w:val="center"/>
          </w:tcPr>
          <w:p w:rsidR="00AE2600" w:rsidRPr="00EC6945" w:rsidRDefault="00AE2600" w:rsidP="00EC6945">
            <w:pPr>
              <w:pStyle w:val="Doc-corpsdetexte"/>
              <w:spacing w:after="0"/>
              <w:ind w:firstLine="0"/>
              <w:jc w:val="right"/>
              <w:rPr>
                <w:b/>
                <w:noProof/>
                <w:lang w:eastAsia="fr-FR" w:bidi="ar-SA"/>
              </w:rPr>
            </w:pPr>
          </w:p>
        </w:tc>
      </w:tr>
      <w:tr w:rsidR="00AE2600" w:rsidTr="00AE2600">
        <w:trPr>
          <w:cantSplit/>
          <w:trHeight w:val="367"/>
        </w:trPr>
        <w:tc>
          <w:tcPr>
            <w:tcW w:w="2098" w:type="dxa"/>
            <w:vMerge/>
            <w:tcBorders>
              <w:bottom w:val="single" w:sz="4" w:space="0" w:color="000000"/>
            </w:tcBorders>
            <w:shd w:val="clear" w:color="auto" w:fill="auto"/>
            <w:vAlign w:val="center"/>
          </w:tcPr>
          <w:p w:rsidR="00AE2600" w:rsidRDefault="00AE2600" w:rsidP="009811EF">
            <w:pPr>
              <w:pStyle w:val="Doc-corpsdetexte"/>
              <w:spacing w:after="0"/>
              <w:ind w:firstLine="0"/>
            </w:pPr>
          </w:p>
        </w:tc>
        <w:tc>
          <w:tcPr>
            <w:tcW w:w="5699" w:type="dxa"/>
            <w:vMerge/>
            <w:tcBorders>
              <w:left w:val="single" w:sz="4" w:space="0" w:color="000000"/>
              <w:bottom w:val="single" w:sz="4" w:space="0" w:color="000000"/>
              <w:right w:val="single" w:sz="4" w:space="0" w:color="000000"/>
            </w:tcBorders>
            <w:shd w:val="clear" w:color="auto" w:fill="auto"/>
            <w:vAlign w:val="center"/>
          </w:tcPr>
          <w:p w:rsidR="00AE2600" w:rsidRPr="00EC6945" w:rsidRDefault="00AE2600" w:rsidP="00EC6945">
            <w:pPr>
              <w:pStyle w:val="Doc-corpsdetexte"/>
              <w:spacing w:after="0"/>
              <w:ind w:firstLine="0"/>
              <w:jc w:val="center"/>
              <w:rPr>
                <w:b/>
                <w:noProof/>
                <w:lang w:eastAsia="fr-FR" w:bidi="ar-SA"/>
              </w:rPr>
            </w:pPr>
          </w:p>
        </w:tc>
        <w:tc>
          <w:tcPr>
            <w:tcW w:w="567" w:type="dxa"/>
            <w:vMerge/>
            <w:tcBorders>
              <w:left w:val="single" w:sz="4" w:space="0" w:color="000000"/>
              <w:right w:val="single" w:sz="4" w:space="0" w:color="003300"/>
            </w:tcBorders>
          </w:tcPr>
          <w:p w:rsidR="00AE2600" w:rsidRPr="00C76BBA" w:rsidRDefault="00AE2600" w:rsidP="009811EF">
            <w:pPr>
              <w:pStyle w:val="Doc-corpsdetexte"/>
              <w:spacing w:after="0"/>
              <w:ind w:firstLine="0"/>
              <w:rPr>
                <w:noProof/>
                <w:lang w:eastAsia="fr-FR" w:bidi="ar-SA"/>
              </w:rPr>
            </w:pPr>
          </w:p>
        </w:tc>
        <w:tc>
          <w:tcPr>
            <w:tcW w:w="1736" w:type="dxa"/>
            <w:vMerge w:val="restart"/>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hanging="10"/>
              <w:jc w:val="left"/>
              <w:rPr>
                <w:b/>
                <w:noProof/>
                <w:lang w:eastAsia="fr-FR" w:bidi="ar-SA"/>
              </w:rPr>
            </w:pPr>
            <w:r w:rsidRPr="00EC6945">
              <w:rPr>
                <w:b/>
              </w:rPr>
              <w:t>Concentration atmosphérique</w:t>
            </w:r>
          </w:p>
        </w:tc>
        <w:tc>
          <w:tcPr>
            <w:tcW w:w="1736" w:type="dxa"/>
            <w:vMerge w:val="restart"/>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0"/>
              <w:jc w:val="right"/>
              <w:rPr>
                <w:b/>
                <w:noProof/>
                <w:lang w:eastAsia="fr-FR" w:bidi="ar-SA"/>
              </w:rPr>
            </w:pPr>
            <w:r w:rsidRPr="00EC6945">
              <w:rPr>
                <w:b/>
              </w:rPr>
              <w:t xml:space="preserve">Il y a 10 000 ans </w:t>
            </w:r>
          </w:p>
        </w:tc>
        <w:tc>
          <w:tcPr>
            <w:tcW w:w="1736" w:type="dxa"/>
            <w:vMerge w:val="restart"/>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0"/>
              <w:jc w:val="right"/>
              <w:rPr>
                <w:b/>
                <w:noProof/>
                <w:lang w:eastAsia="fr-FR" w:bidi="ar-SA"/>
              </w:rPr>
            </w:pPr>
            <w:r w:rsidRPr="00EC6945">
              <w:rPr>
                <w:b/>
              </w:rPr>
              <w:t>1750</w:t>
            </w:r>
          </w:p>
        </w:tc>
        <w:tc>
          <w:tcPr>
            <w:tcW w:w="1737" w:type="dxa"/>
            <w:vMerge w:val="restart"/>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26"/>
              <w:jc w:val="right"/>
              <w:rPr>
                <w:b/>
                <w:noProof/>
                <w:lang w:eastAsia="fr-FR" w:bidi="ar-SA"/>
              </w:rPr>
            </w:pPr>
            <w:r w:rsidRPr="00EC6945">
              <w:rPr>
                <w:b/>
              </w:rPr>
              <w:t>2005</w:t>
            </w:r>
          </w:p>
        </w:tc>
      </w:tr>
      <w:tr w:rsidR="00AE2600" w:rsidTr="009B6F5C">
        <w:trPr>
          <w:cantSplit/>
        </w:trPr>
        <w:tc>
          <w:tcPr>
            <w:tcW w:w="2098" w:type="dxa"/>
            <w:tcBorders>
              <w:top w:val="single" w:sz="4" w:space="0" w:color="000000"/>
              <w:left w:val="single" w:sz="4" w:space="0" w:color="000000"/>
              <w:bottom w:val="single" w:sz="4" w:space="0" w:color="000000"/>
            </w:tcBorders>
            <w:shd w:val="clear" w:color="auto" w:fill="auto"/>
            <w:vAlign w:val="center"/>
          </w:tcPr>
          <w:p w:rsidR="00AE2600" w:rsidRPr="00EC6945" w:rsidRDefault="00AE2600" w:rsidP="009811EF">
            <w:pPr>
              <w:pStyle w:val="Doc-corpsdetexte"/>
              <w:spacing w:after="0"/>
              <w:ind w:firstLine="0"/>
              <w:rPr>
                <w:b/>
              </w:rPr>
            </w:pPr>
            <w:r w:rsidRPr="00EC6945">
              <w:rPr>
                <w:b/>
              </w:rPr>
              <w:t>Charbon</w:t>
            </w:r>
          </w:p>
        </w:tc>
        <w:tc>
          <w:tcPr>
            <w:tcW w:w="5699" w:type="dxa"/>
            <w:tcBorders>
              <w:left w:val="single" w:sz="4" w:space="0" w:color="000000"/>
              <w:bottom w:val="single" w:sz="4" w:space="0" w:color="000000"/>
              <w:right w:val="single" w:sz="4" w:space="0" w:color="000000"/>
            </w:tcBorders>
            <w:shd w:val="clear" w:color="auto" w:fill="auto"/>
            <w:vAlign w:val="center"/>
          </w:tcPr>
          <w:p w:rsidR="00AE2600" w:rsidRDefault="00AE2600" w:rsidP="00EC6945">
            <w:pPr>
              <w:pStyle w:val="Doc-corpsdetexte"/>
              <w:spacing w:after="0"/>
              <w:ind w:firstLine="0"/>
              <w:jc w:val="center"/>
            </w:pPr>
            <w:r>
              <w:t>100 kg</w:t>
            </w:r>
          </w:p>
        </w:tc>
        <w:tc>
          <w:tcPr>
            <w:tcW w:w="567" w:type="dxa"/>
            <w:tcBorders>
              <w:left w:val="single" w:sz="4" w:space="0" w:color="000000"/>
              <w:right w:val="single" w:sz="4" w:space="0" w:color="003300"/>
            </w:tcBorders>
          </w:tcPr>
          <w:p w:rsidR="00AE2600" w:rsidRDefault="00AE2600" w:rsidP="009811EF">
            <w:pPr>
              <w:pStyle w:val="Doc-corpsdetexte"/>
              <w:spacing w:after="0"/>
              <w:ind w:firstLine="0"/>
            </w:pPr>
          </w:p>
        </w:tc>
        <w:tc>
          <w:tcPr>
            <w:tcW w:w="1736" w:type="dxa"/>
            <w:vMerge/>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26"/>
              <w:jc w:val="right"/>
              <w:rPr>
                <w:b/>
                <w:noProof/>
                <w:lang w:eastAsia="fr-FR" w:bidi="ar-SA"/>
              </w:rPr>
            </w:pPr>
          </w:p>
        </w:tc>
        <w:tc>
          <w:tcPr>
            <w:tcW w:w="1736" w:type="dxa"/>
            <w:vMerge/>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26"/>
              <w:jc w:val="right"/>
              <w:rPr>
                <w:b/>
                <w:noProof/>
                <w:lang w:eastAsia="fr-FR" w:bidi="ar-SA"/>
              </w:rPr>
            </w:pPr>
          </w:p>
        </w:tc>
        <w:tc>
          <w:tcPr>
            <w:tcW w:w="1736" w:type="dxa"/>
            <w:vMerge/>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26"/>
              <w:jc w:val="right"/>
              <w:rPr>
                <w:b/>
                <w:noProof/>
                <w:lang w:eastAsia="fr-FR" w:bidi="ar-SA"/>
              </w:rPr>
            </w:pPr>
          </w:p>
        </w:tc>
        <w:tc>
          <w:tcPr>
            <w:tcW w:w="1737" w:type="dxa"/>
            <w:vMerge/>
            <w:tcBorders>
              <w:top w:val="single" w:sz="4" w:space="0" w:color="003300"/>
              <w:left w:val="single" w:sz="4" w:space="0" w:color="003300"/>
              <w:bottom w:val="single" w:sz="4" w:space="0" w:color="003300"/>
              <w:right w:val="single" w:sz="4" w:space="0" w:color="003300"/>
            </w:tcBorders>
            <w:vAlign w:val="center"/>
          </w:tcPr>
          <w:p w:rsidR="00AE2600" w:rsidRPr="00EC6945" w:rsidRDefault="00AE2600" w:rsidP="00AE2600">
            <w:pPr>
              <w:pStyle w:val="Doc-corpsdetexte"/>
              <w:ind w:firstLine="26"/>
              <w:jc w:val="right"/>
              <w:rPr>
                <w:b/>
                <w:noProof/>
                <w:lang w:eastAsia="fr-FR" w:bidi="ar-SA"/>
              </w:rPr>
            </w:pPr>
          </w:p>
        </w:tc>
      </w:tr>
      <w:tr w:rsidR="00AE2600" w:rsidTr="009B6F5C">
        <w:trPr>
          <w:cantSplit/>
        </w:trPr>
        <w:tc>
          <w:tcPr>
            <w:tcW w:w="2098" w:type="dxa"/>
            <w:tcBorders>
              <w:left w:val="single" w:sz="4" w:space="0" w:color="000000"/>
              <w:bottom w:val="single" w:sz="4" w:space="0" w:color="000000"/>
            </w:tcBorders>
            <w:shd w:val="clear" w:color="auto" w:fill="auto"/>
            <w:vAlign w:val="center"/>
          </w:tcPr>
          <w:p w:rsidR="00AE2600" w:rsidRPr="00EC6945" w:rsidRDefault="00AE2600" w:rsidP="009811EF">
            <w:pPr>
              <w:pStyle w:val="Doc-corpsdetexte"/>
              <w:spacing w:after="0"/>
              <w:ind w:firstLine="0"/>
              <w:rPr>
                <w:b/>
              </w:rPr>
            </w:pPr>
            <w:r w:rsidRPr="00EC6945">
              <w:rPr>
                <w:b/>
              </w:rPr>
              <w:t>Pétrole</w:t>
            </w:r>
          </w:p>
        </w:tc>
        <w:tc>
          <w:tcPr>
            <w:tcW w:w="5699" w:type="dxa"/>
            <w:tcBorders>
              <w:left w:val="single" w:sz="4" w:space="0" w:color="000000"/>
              <w:bottom w:val="single" w:sz="4" w:space="0" w:color="000000"/>
              <w:right w:val="single" w:sz="4" w:space="0" w:color="000000"/>
            </w:tcBorders>
            <w:shd w:val="clear" w:color="auto" w:fill="auto"/>
            <w:vAlign w:val="center"/>
          </w:tcPr>
          <w:p w:rsidR="00AE2600" w:rsidRDefault="00AE2600" w:rsidP="00EC6945">
            <w:pPr>
              <w:pStyle w:val="Doc-corpsdetexte"/>
              <w:spacing w:after="0"/>
              <w:ind w:firstLine="0"/>
              <w:jc w:val="center"/>
            </w:pPr>
            <w:r>
              <w:t>75 kg</w:t>
            </w:r>
          </w:p>
        </w:tc>
        <w:tc>
          <w:tcPr>
            <w:tcW w:w="567" w:type="dxa"/>
            <w:tcBorders>
              <w:left w:val="single" w:sz="4" w:space="0" w:color="000000"/>
              <w:right w:val="single" w:sz="4" w:space="0" w:color="003300"/>
            </w:tcBorders>
          </w:tcPr>
          <w:p w:rsidR="00AE2600" w:rsidRDefault="00AE2600" w:rsidP="009811EF">
            <w:pPr>
              <w:pStyle w:val="Doc-corpsdetexte"/>
              <w:spacing w:after="0"/>
              <w:ind w:firstLine="0"/>
            </w:pPr>
          </w:p>
        </w:tc>
        <w:tc>
          <w:tcPr>
            <w:tcW w:w="1736"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pPr>
            <w:r>
              <w:t>CO</w:t>
            </w:r>
            <w:r>
              <w:rPr>
                <w:color w:val="00000A"/>
                <w:vertAlign w:val="subscript"/>
              </w:rPr>
              <w:t>2</w:t>
            </w:r>
          </w:p>
        </w:tc>
        <w:tc>
          <w:tcPr>
            <w:tcW w:w="1736"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jc w:val="right"/>
            </w:pPr>
            <w:r>
              <w:t>260 ppm</w:t>
            </w:r>
          </w:p>
        </w:tc>
        <w:tc>
          <w:tcPr>
            <w:tcW w:w="1736"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jc w:val="right"/>
            </w:pPr>
            <w:r>
              <w:t>280 ppm</w:t>
            </w:r>
          </w:p>
        </w:tc>
        <w:tc>
          <w:tcPr>
            <w:tcW w:w="1737"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jc w:val="right"/>
            </w:pPr>
            <w:r>
              <w:t>379 ppm</w:t>
            </w:r>
          </w:p>
        </w:tc>
      </w:tr>
      <w:tr w:rsidR="00AE2600" w:rsidTr="009B6F5C">
        <w:trPr>
          <w:cantSplit/>
        </w:trPr>
        <w:tc>
          <w:tcPr>
            <w:tcW w:w="2098" w:type="dxa"/>
            <w:tcBorders>
              <w:left w:val="single" w:sz="4" w:space="0" w:color="000000"/>
              <w:bottom w:val="single" w:sz="4" w:space="0" w:color="000000"/>
            </w:tcBorders>
            <w:shd w:val="clear" w:color="auto" w:fill="auto"/>
            <w:vAlign w:val="center"/>
          </w:tcPr>
          <w:p w:rsidR="00AE2600" w:rsidRPr="00EC6945" w:rsidRDefault="00AE2600" w:rsidP="009811EF">
            <w:pPr>
              <w:pStyle w:val="Doc-corpsdetexte"/>
              <w:spacing w:after="0"/>
              <w:ind w:firstLine="0"/>
              <w:rPr>
                <w:b/>
              </w:rPr>
            </w:pPr>
            <w:r w:rsidRPr="00EC6945">
              <w:rPr>
                <w:b/>
              </w:rPr>
              <w:t>Gaz naturel</w:t>
            </w:r>
          </w:p>
        </w:tc>
        <w:tc>
          <w:tcPr>
            <w:tcW w:w="5699" w:type="dxa"/>
            <w:tcBorders>
              <w:left w:val="single" w:sz="4" w:space="0" w:color="000000"/>
              <w:bottom w:val="single" w:sz="4" w:space="0" w:color="000000"/>
              <w:right w:val="single" w:sz="4" w:space="0" w:color="000000"/>
            </w:tcBorders>
            <w:shd w:val="clear" w:color="auto" w:fill="auto"/>
            <w:vAlign w:val="center"/>
          </w:tcPr>
          <w:p w:rsidR="00AE2600" w:rsidRDefault="00AE2600" w:rsidP="00EC6945">
            <w:pPr>
              <w:pStyle w:val="Doc-corpsdetexte"/>
              <w:spacing w:after="0"/>
              <w:ind w:firstLine="0"/>
              <w:jc w:val="center"/>
            </w:pPr>
            <w:r>
              <w:t>55 kg</w:t>
            </w:r>
          </w:p>
        </w:tc>
        <w:tc>
          <w:tcPr>
            <w:tcW w:w="567" w:type="dxa"/>
            <w:tcBorders>
              <w:left w:val="single" w:sz="4" w:space="0" w:color="000000"/>
              <w:right w:val="single" w:sz="4" w:space="0" w:color="003300"/>
            </w:tcBorders>
          </w:tcPr>
          <w:p w:rsidR="00AE2600" w:rsidRDefault="00AE2600" w:rsidP="009811EF">
            <w:pPr>
              <w:pStyle w:val="Doc-corpsdetexte"/>
              <w:spacing w:after="0"/>
              <w:ind w:firstLine="0"/>
            </w:pPr>
          </w:p>
        </w:tc>
        <w:tc>
          <w:tcPr>
            <w:tcW w:w="1736"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pPr>
            <w:r>
              <w:t>CH</w:t>
            </w:r>
            <w:r>
              <w:rPr>
                <w:color w:val="00000A"/>
                <w:vertAlign w:val="subscript"/>
              </w:rPr>
              <w:t>4</w:t>
            </w:r>
          </w:p>
        </w:tc>
        <w:tc>
          <w:tcPr>
            <w:tcW w:w="1736"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jc w:val="right"/>
            </w:pPr>
            <w:r>
              <w:t>580 ppb</w:t>
            </w:r>
          </w:p>
        </w:tc>
        <w:tc>
          <w:tcPr>
            <w:tcW w:w="1736"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jc w:val="right"/>
            </w:pPr>
            <w:r>
              <w:t>730 ppb</w:t>
            </w:r>
          </w:p>
        </w:tc>
        <w:tc>
          <w:tcPr>
            <w:tcW w:w="1737" w:type="dxa"/>
            <w:tcBorders>
              <w:top w:val="single" w:sz="4" w:space="0" w:color="003300"/>
              <w:left w:val="single" w:sz="4" w:space="0" w:color="003300"/>
              <w:bottom w:val="single" w:sz="4" w:space="0" w:color="003300"/>
              <w:right w:val="single" w:sz="4" w:space="0" w:color="003300"/>
            </w:tcBorders>
          </w:tcPr>
          <w:p w:rsidR="00AE2600" w:rsidRDefault="00AE2600" w:rsidP="009811EF">
            <w:pPr>
              <w:pStyle w:val="Doc-corpsdetexte"/>
              <w:spacing w:after="0"/>
              <w:ind w:firstLine="0"/>
              <w:jc w:val="right"/>
            </w:pPr>
            <w:r>
              <w:t>1774 ppb</w:t>
            </w:r>
          </w:p>
        </w:tc>
      </w:tr>
      <w:tr w:rsidR="00AE2600" w:rsidTr="009B6F5C">
        <w:trPr>
          <w:cantSplit/>
        </w:trPr>
        <w:tc>
          <w:tcPr>
            <w:tcW w:w="2098" w:type="dxa"/>
            <w:tcBorders>
              <w:top w:val="single" w:sz="4" w:space="0" w:color="000000"/>
              <w:left w:val="single" w:sz="4" w:space="0" w:color="000000"/>
              <w:bottom w:val="single" w:sz="4" w:space="0" w:color="003300"/>
            </w:tcBorders>
            <w:shd w:val="clear" w:color="auto" w:fill="auto"/>
            <w:vAlign w:val="center"/>
          </w:tcPr>
          <w:p w:rsidR="00AE2600" w:rsidRPr="00EC6945" w:rsidRDefault="00AE2600" w:rsidP="009811EF">
            <w:pPr>
              <w:pStyle w:val="Doc-corpsdetexte"/>
              <w:spacing w:after="0"/>
              <w:ind w:firstLine="0"/>
              <w:rPr>
                <w:b/>
              </w:rPr>
            </w:pPr>
            <w:r w:rsidRPr="00EC6945">
              <w:rPr>
                <w:b/>
              </w:rPr>
              <w:t>Hydrocarbures non conventionnels</w:t>
            </w:r>
          </w:p>
        </w:tc>
        <w:tc>
          <w:tcPr>
            <w:tcW w:w="5699" w:type="dxa"/>
            <w:tcBorders>
              <w:top w:val="single" w:sz="4" w:space="0" w:color="000000"/>
              <w:left w:val="single" w:sz="4" w:space="0" w:color="000000"/>
              <w:bottom w:val="single" w:sz="4" w:space="0" w:color="003300"/>
              <w:right w:val="single" w:sz="4" w:space="0" w:color="000000"/>
            </w:tcBorders>
            <w:shd w:val="clear" w:color="auto" w:fill="auto"/>
            <w:vAlign w:val="center"/>
          </w:tcPr>
          <w:p w:rsidR="00AE2600" w:rsidRDefault="00AE2600" w:rsidP="00EC6945">
            <w:pPr>
              <w:pStyle w:val="Doc-corpsdetexte"/>
              <w:spacing w:after="0"/>
              <w:ind w:firstLine="0"/>
              <w:jc w:val="center"/>
            </w:pPr>
            <w:r>
              <w:t>30 à 100 % de plus que leurs homologues conventionnels (augmentation due aux modes d’exploitation)</w:t>
            </w:r>
          </w:p>
        </w:tc>
        <w:tc>
          <w:tcPr>
            <w:tcW w:w="567" w:type="dxa"/>
            <w:tcBorders>
              <w:left w:val="single" w:sz="4" w:space="0" w:color="000000"/>
            </w:tcBorders>
          </w:tcPr>
          <w:p w:rsidR="00AE2600" w:rsidRDefault="00AE2600" w:rsidP="009811EF">
            <w:pPr>
              <w:pStyle w:val="Doc-corpsdetexte"/>
              <w:spacing w:after="0"/>
              <w:ind w:firstLine="0"/>
            </w:pPr>
          </w:p>
        </w:tc>
        <w:tc>
          <w:tcPr>
            <w:tcW w:w="6945" w:type="dxa"/>
            <w:gridSpan w:val="4"/>
            <w:tcBorders>
              <w:top w:val="single" w:sz="4" w:space="0" w:color="003300"/>
            </w:tcBorders>
          </w:tcPr>
          <w:p w:rsidR="00FE0A4A" w:rsidRDefault="00AE2600" w:rsidP="00710419">
            <w:pPr>
              <w:pStyle w:val="Doc-corpsdetexte"/>
              <w:tabs>
                <w:tab w:val="right" w:pos="6925"/>
              </w:tabs>
              <w:spacing w:after="0"/>
              <w:ind w:firstLine="0"/>
            </w:pPr>
            <w:r w:rsidRPr="0020706C">
              <w:t>ppm : partie par million (</w:t>
            </w:r>
            <w:r w:rsidRPr="00AC730E">
              <w:rPr>
                <w:i/>
              </w:rPr>
              <w:t>part per million</w:t>
            </w:r>
            <w:r w:rsidRPr="0020706C">
              <w:t>)</w:t>
            </w:r>
            <w:r>
              <w:tab/>
            </w:r>
            <w:r w:rsidRPr="00EC6945">
              <w:rPr>
                <w:i/>
              </w:rPr>
              <w:t>source : GIEC</w:t>
            </w:r>
          </w:p>
          <w:p w:rsidR="00AE2600" w:rsidRDefault="00AE2600" w:rsidP="00FE0A4A">
            <w:pPr>
              <w:pStyle w:val="Doc-corpsdetexte"/>
              <w:spacing w:after="0"/>
              <w:ind w:firstLine="0"/>
            </w:pPr>
            <w:r w:rsidRPr="0020706C">
              <w:t>ppb :</w:t>
            </w:r>
            <w:r>
              <w:t xml:space="preserve"> </w:t>
            </w:r>
            <w:r w:rsidRPr="0020706C">
              <w:t>partie par milliard (</w:t>
            </w:r>
            <w:r w:rsidRPr="0020706C">
              <w:rPr>
                <w:i/>
                <w:iCs/>
              </w:rPr>
              <w:t>part per billion</w:t>
            </w:r>
            <w:r w:rsidRPr="0020706C">
              <w:t>)</w:t>
            </w:r>
          </w:p>
        </w:tc>
      </w:tr>
      <w:tr w:rsidR="00AE2600" w:rsidTr="009B6F5C">
        <w:trPr>
          <w:cantSplit/>
        </w:trPr>
        <w:tc>
          <w:tcPr>
            <w:tcW w:w="7797" w:type="dxa"/>
            <w:gridSpan w:val="2"/>
            <w:tcBorders>
              <w:top w:val="single" w:sz="4" w:space="0" w:color="003300"/>
            </w:tcBorders>
            <w:shd w:val="clear" w:color="auto" w:fill="auto"/>
            <w:vAlign w:val="center"/>
          </w:tcPr>
          <w:p w:rsidR="00AE2600" w:rsidRPr="00EC6945" w:rsidRDefault="00AE2600" w:rsidP="00C83836">
            <w:pPr>
              <w:pStyle w:val="Doc-corpsdetexte"/>
              <w:ind w:firstLine="0"/>
              <w:jc w:val="right"/>
              <w:rPr>
                <w:i/>
              </w:rPr>
            </w:pPr>
            <w:r>
              <w:rPr>
                <w:i/>
              </w:rPr>
              <w:t xml:space="preserve">Source : </w:t>
            </w:r>
            <w:r w:rsidRPr="00C83836">
              <w:rPr>
                <w:i/>
              </w:rPr>
              <w:t>Rapport d’information de l’Assemblée Nationale</w:t>
            </w:r>
            <w:r>
              <w:rPr>
                <w:i/>
              </w:rPr>
              <w:t xml:space="preserve"> </w:t>
            </w:r>
          </w:p>
        </w:tc>
        <w:tc>
          <w:tcPr>
            <w:tcW w:w="567" w:type="dxa"/>
          </w:tcPr>
          <w:p w:rsidR="00AE2600" w:rsidRDefault="00AE2600" w:rsidP="00300831">
            <w:pPr>
              <w:pStyle w:val="Doc-corpsdetexte"/>
              <w:ind w:firstLine="0"/>
            </w:pPr>
          </w:p>
        </w:tc>
        <w:tc>
          <w:tcPr>
            <w:tcW w:w="6945" w:type="dxa"/>
            <w:gridSpan w:val="4"/>
          </w:tcPr>
          <w:p w:rsidR="00AE2600" w:rsidRDefault="00AE2600" w:rsidP="00AE2600">
            <w:pPr>
              <w:pStyle w:val="Doc-corpsdetexte"/>
              <w:ind w:firstLine="0"/>
            </w:pPr>
          </w:p>
        </w:tc>
      </w:tr>
    </w:tbl>
    <w:p w:rsidR="008C56A8" w:rsidRPr="0008640B" w:rsidRDefault="00A454F2" w:rsidP="009D7296">
      <w:pPr>
        <w:pStyle w:val="Doc-corpsdetexte"/>
      </w:pPr>
      <w:r>
        <w:rPr>
          <w:noProof/>
          <w:lang w:eastAsia="fr-FR" w:bidi="ar-SA"/>
        </w:rPr>
        <w:pict>
          <v:shape id="_x0000_s1642" type="#_x0000_t202" style="position:absolute;left:0;text-align:left;margin-left:-28.35pt;margin-top:3.3pt;width:27.7pt;height:44.85pt;z-index:252280832;mso-position-horizontal-relative:margin;mso-position-vertical-relative:text" fillcolor="#0080c0" strokeweight="1pt">
            <v:fill color2="#006646" rotate="t" angle="-90" focus="100%" type="gradient"/>
            <o:lock v:ext="edit" aspectratio="t"/>
            <v:textbox style="mso-next-textbox:#_x0000_s1642">
              <w:txbxContent>
                <w:p w:rsidR="009811EF" w:rsidRPr="00DD2F9B" w:rsidRDefault="009811EF" w:rsidP="00873144">
                  <w:pPr>
                    <w:jc w:val="center"/>
                    <w:rPr>
                      <w:rFonts w:ascii="Colonna MT" w:hAnsi="Colonna MT"/>
                      <w:b/>
                      <w:sz w:val="40"/>
                      <w:szCs w:val="40"/>
                    </w:rPr>
                  </w:pPr>
                  <w:r>
                    <w:rPr>
                      <w:rFonts w:ascii="Colonna MT" w:hAnsi="Colonna MT"/>
                      <w:b/>
                      <w:sz w:val="40"/>
                      <w:szCs w:val="40"/>
                    </w:rPr>
                    <w:t>S</w:t>
                  </w:r>
                </w:p>
              </w:txbxContent>
            </v:textbox>
            <w10:wrap anchorx="margin"/>
          </v:shape>
        </w:pict>
      </w:r>
      <w:r w:rsidR="008C56A8">
        <w:t>Sur l’ensemble de leur cycle de vie (de leur fabrication à leur destruction ou recyclage</w:t>
      </w:r>
      <w:r w:rsidR="008C56A8" w:rsidRPr="00D762DF">
        <w:t>), les panneaux photovoltaïques en silicium sont</w:t>
      </w:r>
      <w:r w:rsidR="008C56A8">
        <w:t xml:space="preserve"> source d’émission de CO</w:t>
      </w:r>
      <w:r w:rsidR="008C56A8">
        <w:rPr>
          <w:color w:val="00000A"/>
          <w:vertAlign w:val="subscript"/>
        </w:rPr>
        <w:t>2</w:t>
      </w:r>
      <w:r w:rsidR="008C56A8">
        <w:t xml:space="preserve">, à un taux  d’environ 1/5 du taux d’émission du pétrole. </w:t>
      </w:r>
    </w:p>
    <w:p w:rsidR="008C56A8" w:rsidRDefault="008C56A8" w:rsidP="009D7296">
      <w:pPr>
        <w:pStyle w:val="Doc-corpsdetexte"/>
      </w:pPr>
      <w:r>
        <w:rPr>
          <w:noProof/>
          <w:lang w:eastAsia="fr-FR" w:bidi="ar-SA"/>
        </w:rPr>
        <w:lastRenderedPageBreak/>
        <w:drawing>
          <wp:anchor distT="0" distB="0" distL="360045" distR="180340" simplePos="0" relativeHeight="252062720" behindDoc="1" locked="0" layoutInCell="1" allowOverlap="1">
            <wp:simplePos x="0" y="0"/>
            <wp:positionH relativeFrom="column">
              <wp:posOffset>-357505</wp:posOffset>
            </wp:positionH>
            <wp:positionV relativeFrom="paragraph">
              <wp:posOffset>-53340</wp:posOffset>
            </wp:positionV>
            <wp:extent cx="4191000" cy="2247900"/>
            <wp:effectExtent l="0" t="0" r="0" b="0"/>
            <wp:wrapSquare wrapText="bothSides"/>
            <wp:docPr id="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ab/>
      </w:r>
      <w:r w:rsidRPr="0020706C">
        <w:tab/>
      </w:r>
    </w:p>
    <w:p w:rsidR="009B6F5C" w:rsidRDefault="008C56A8" w:rsidP="009D7296">
      <w:pPr>
        <w:pStyle w:val="Doc-corpsdetexte"/>
        <w:rPr>
          <w:noProof/>
          <w:sz w:val="20"/>
          <w:szCs w:val="20"/>
          <w:lang w:eastAsia="fr-FR" w:bidi="ar-SA"/>
        </w:rPr>
      </w:pPr>
      <w:r>
        <w:t>La température à la surface terrestre a augmenté de 0,74 °C entre 1900 et 2005. Les scénarios d’avenir se basent sur les politiques climatiques actuelles et diffèrent au niveau des facteurs d’évolution démographique, économique et technologique.</w:t>
      </w:r>
      <w:r w:rsidRPr="00127E86">
        <w:rPr>
          <w:noProof/>
          <w:sz w:val="20"/>
          <w:szCs w:val="20"/>
          <w:lang w:eastAsia="fr-FR" w:bidi="ar-SA"/>
        </w:rPr>
        <w:t xml:space="preserve"> </w:t>
      </w:r>
    </w:p>
    <w:p w:rsidR="009B6F5C" w:rsidRDefault="009B6F5C" w:rsidP="009D7296">
      <w:pPr>
        <w:pStyle w:val="Doc-corpsdetexte"/>
        <w:rPr>
          <w:noProof/>
          <w:sz w:val="20"/>
          <w:szCs w:val="20"/>
          <w:lang w:eastAsia="fr-FR" w:bidi="ar-SA"/>
        </w:rPr>
      </w:pPr>
    </w:p>
    <w:p w:rsidR="009B6F5C" w:rsidRDefault="009B6F5C" w:rsidP="009D7296">
      <w:pPr>
        <w:pStyle w:val="Doc-corpsdetexte"/>
        <w:rPr>
          <w:noProof/>
          <w:sz w:val="20"/>
          <w:szCs w:val="20"/>
          <w:lang w:eastAsia="fr-FR" w:bidi="ar-SA"/>
        </w:rPr>
      </w:pPr>
    </w:p>
    <w:p w:rsidR="009B6F5C" w:rsidRDefault="009B6F5C" w:rsidP="009D7296">
      <w:pPr>
        <w:pStyle w:val="Doc-corpsdetexte"/>
        <w:rPr>
          <w:noProof/>
          <w:sz w:val="20"/>
          <w:szCs w:val="20"/>
          <w:lang w:eastAsia="fr-FR" w:bidi="ar-SA"/>
        </w:rPr>
      </w:pPr>
    </w:p>
    <w:p w:rsidR="009B6F5C" w:rsidRDefault="009B6F5C" w:rsidP="009D7296">
      <w:pPr>
        <w:pStyle w:val="Doc-corpsdetexte"/>
        <w:rPr>
          <w:noProof/>
          <w:sz w:val="20"/>
          <w:szCs w:val="20"/>
          <w:lang w:eastAsia="fr-FR" w:bidi="ar-SA"/>
        </w:rPr>
      </w:pPr>
    </w:p>
    <w:p w:rsidR="009B6F5C" w:rsidRDefault="009B6F5C" w:rsidP="009D7296">
      <w:pPr>
        <w:pStyle w:val="Doc-corpsdetexte"/>
        <w:rPr>
          <w:noProof/>
          <w:sz w:val="20"/>
          <w:szCs w:val="20"/>
          <w:lang w:eastAsia="fr-FR" w:bidi="ar-SA"/>
        </w:rPr>
      </w:pPr>
    </w:p>
    <w:p w:rsidR="008C56A8" w:rsidRPr="00E329FA" w:rsidRDefault="008C56A8" w:rsidP="0087021C">
      <w:pPr>
        <w:pStyle w:val="Doc-titre4"/>
      </w:pPr>
      <w:bookmarkStart w:id="15" w:name="_Toc336593317"/>
      <w:r w:rsidRPr="00E329FA">
        <w:t>Qualité de vie et écosystèmes</w:t>
      </w:r>
      <w:bookmarkEnd w:id="15"/>
    </w:p>
    <w:p w:rsidR="0021154E" w:rsidRDefault="00A454F2" w:rsidP="0021154E">
      <w:pPr>
        <w:pStyle w:val="Doc-titre5"/>
      </w:pPr>
      <w:r w:rsidRPr="00A454F2">
        <w:rPr>
          <w:noProof/>
          <w:sz w:val="20"/>
          <w:szCs w:val="20"/>
          <w:lang w:eastAsia="fr-FR" w:bidi="ar-SA"/>
        </w:rPr>
        <w:pict>
          <v:shape id="_x0000_s1643" type="#_x0000_t202" style="position:absolute;left:0;text-align:left;margin-left:-28.35pt;margin-top:6.6pt;width:27.7pt;height:44.85pt;z-index:252281856;mso-position-horizontal-relative:margin" fillcolor="#f33" strokeweight="1pt">
            <v:fill color2="#f60" rotate="t" angle="-90" focus="100%" type="gradient"/>
            <o:lock v:ext="edit" aspectratio="t"/>
            <v:textbox style="mso-next-textbox:#_x0000_s1643">
              <w:txbxContent>
                <w:p w:rsidR="009811EF" w:rsidRPr="00DD2F9B" w:rsidRDefault="009811EF" w:rsidP="00485DE8">
                  <w:pPr>
                    <w:jc w:val="center"/>
                    <w:rPr>
                      <w:rFonts w:ascii="Colonna MT" w:hAnsi="Colonna MT"/>
                      <w:b/>
                      <w:sz w:val="40"/>
                      <w:szCs w:val="40"/>
                    </w:rPr>
                  </w:pPr>
                  <w:r>
                    <w:rPr>
                      <w:rFonts w:ascii="Colonna MT" w:hAnsi="Colonna MT"/>
                      <w:b/>
                      <w:sz w:val="40"/>
                      <w:szCs w:val="40"/>
                    </w:rPr>
                    <w:t>Z</w:t>
                  </w:r>
                </w:p>
              </w:txbxContent>
            </v:textbox>
            <w10:wrap anchorx="margin"/>
          </v:shape>
        </w:pict>
      </w:r>
      <w:r w:rsidR="008C56A8" w:rsidRPr="008F18FA">
        <w:t>Eoliennes</w:t>
      </w:r>
    </w:p>
    <w:p w:rsidR="008C56A8" w:rsidRPr="00D64E5E" w:rsidRDefault="0021154E" w:rsidP="009D7296">
      <w:pPr>
        <w:pStyle w:val="Doc-corpsdetexte"/>
        <w:rPr>
          <w:vertAlign w:val="subscript"/>
        </w:rPr>
      </w:pPr>
      <w:r>
        <w:t>L</w:t>
      </w:r>
      <w:r w:rsidR="008C56A8">
        <w:t>e bruit occasionné par une éolienne est de 55 décibels à 100 m, soit le niveau d’une conversation à voix basse. En France, les parcs sont placés à 500 m des habitations et des études d’impact sonore sont réalisées. Les infrasons générés se situent en-deçà du seuil perceptible et sont sans impact sur la santé. Dix fois moins d’oiseaux sont tués à cause des éoliennes qu’à cause de la circulation ou des lignes à hautes tension. En revanche, les parcs éoliens peuvent interférer avec les trajectoires de vol, empêchant les oiseaux migrateurs de rejoindre leurs habitats. Pour les parcs éoliens en mer, la faune marine est étudiée, l’impact pouvant être positif ou négatif selon le lieu d’implantation. Les impacts sur le paysage, eux, ne sont pas quantifiables</w:t>
      </w:r>
      <w:r w:rsidR="008C56A8" w:rsidRPr="00B75C0D">
        <w:rPr>
          <w:rStyle w:val="Appelnotedebasdep"/>
        </w:rPr>
        <w:t xml:space="preserve"> </w:t>
      </w:r>
      <w:r w:rsidR="008C56A8">
        <w:rPr>
          <w:rStyle w:val="Appelnotedebasdep"/>
        </w:rPr>
        <w:footnoteReference w:id="21"/>
      </w:r>
      <w:r w:rsidR="00D64E5E" w:rsidRPr="00D64E5E">
        <w:rPr>
          <w:rStyle w:val="Appelnotedebasdep"/>
          <w:vertAlign w:val="baseline"/>
        </w:rPr>
        <w:t>.</w:t>
      </w:r>
    </w:p>
    <w:p w:rsidR="0021154E" w:rsidRDefault="00A454F2" w:rsidP="0021154E">
      <w:pPr>
        <w:pStyle w:val="Doc-titre5"/>
      </w:pPr>
      <w:r>
        <w:rPr>
          <w:noProof/>
          <w:lang w:eastAsia="fr-FR" w:bidi="ar-SA"/>
        </w:rPr>
        <w:pict>
          <v:shape id="_x0000_s1644" type="#_x0000_t202" style="position:absolute;left:0;text-align:left;margin-left:-28.35pt;margin-top:6.25pt;width:27.7pt;height:44.85pt;z-index:252282880;mso-position-horizontal-relative:margin" fillcolor="#c30" strokeweight="1pt">
            <v:fill color2="#c60" rotate="t" angle="-90" focus="100%" type="gradient"/>
            <o:lock v:ext="edit" aspectratio="t"/>
            <v:textbox style="mso-next-textbox:#_x0000_s1644">
              <w:txbxContent>
                <w:p w:rsidR="009811EF" w:rsidRPr="00DD2F9B" w:rsidRDefault="009811EF" w:rsidP="00485DE8">
                  <w:pPr>
                    <w:jc w:val="center"/>
                    <w:rPr>
                      <w:rFonts w:ascii="Colonna MT" w:hAnsi="Colonna MT"/>
                      <w:b/>
                      <w:sz w:val="40"/>
                      <w:szCs w:val="40"/>
                    </w:rPr>
                  </w:pPr>
                  <w:r>
                    <w:rPr>
                      <w:rFonts w:ascii="Colonna MT" w:hAnsi="Colonna MT"/>
                      <w:b/>
                      <w:sz w:val="40"/>
                      <w:szCs w:val="40"/>
                    </w:rPr>
                    <w:t>L</w:t>
                  </w:r>
                </w:p>
              </w:txbxContent>
            </v:textbox>
            <w10:wrap anchorx="margin"/>
          </v:shape>
        </w:pict>
      </w:r>
      <w:r w:rsidR="008C56A8" w:rsidRPr="008F18FA">
        <w:t>Stations hydrauliques avec lac artificiel</w:t>
      </w:r>
    </w:p>
    <w:p w:rsidR="008C56A8" w:rsidRDefault="008C56A8" w:rsidP="009D7296">
      <w:pPr>
        <w:pStyle w:val="Doc-corpsdetexte"/>
      </w:pPr>
      <w:r>
        <w:t>La mise en eau des barrages inonde de grandes superficies de terrains. Des habitations et terres agricoles sont parfois déplacées. Les écosystèmes sont déséquilibrés à cause de la qualité de cette eau : l’eau stagnante des réservoirs manque d’oxygène, alors que l’eau qui chute du barrage est suroxygénée. Le plus grand barrage de ce type est celui des trois Gorges, sur le Yang Tse Kiang, en Chine. Il a nécessité le déplacement de 1,4 millions de personnes et provoqué l’assèchement des réservoirs naturels en aval</w:t>
      </w:r>
      <w:r>
        <w:rPr>
          <w:rStyle w:val="Appelnotedebasdep"/>
          <w:color w:val="00000A"/>
        </w:rPr>
        <w:footnoteReference w:id="22"/>
      </w:r>
      <w:r>
        <w:t>.</w:t>
      </w:r>
    </w:p>
    <w:p w:rsidR="00C930BC" w:rsidRDefault="00C930BC">
      <w:pPr>
        <w:widowControl/>
        <w:suppressAutoHyphens w:val="0"/>
        <w:rPr>
          <w:rFonts w:asciiTheme="minorHAnsi" w:hAnsiTheme="minorHAnsi" w:cs="Optima"/>
        </w:rPr>
      </w:pPr>
      <w:r>
        <w:br w:type="page"/>
      </w:r>
    </w:p>
    <w:p w:rsidR="008C56A8" w:rsidRPr="00F50793" w:rsidRDefault="008C56A8" w:rsidP="00421E82">
      <w:pPr>
        <w:pStyle w:val="Doc-titre2"/>
      </w:pPr>
      <w:bookmarkStart w:id="16" w:name="_Toc336593318"/>
      <w:r w:rsidRPr="00E329FA">
        <w:lastRenderedPageBreak/>
        <w:t>Consommation et politiques énergétiques</w:t>
      </w:r>
      <w:bookmarkEnd w:id="16"/>
    </w:p>
    <w:p w:rsidR="008C56A8" w:rsidRDefault="00A454F2" w:rsidP="00421E82">
      <w:pPr>
        <w:pStyle w:val="Doc-titre3"/>
      </w:pPr>
      <w:r>
        <w:rPr>
          <w:noProof/>
          <w:lang w:eastAsia="fr-FR" w:bidi="ar-SA"/>
        </w:rPr>
        <w:pict>
          <v:shape id="_x0000_s1645" type="#_x0000_t202" style="position:absolute;left:0;text-align:left;margin-left:-28.35pt;margin-top:4.15pt;width:27.7pt;height:44.85pt;z-index:252283904;mso-position-horizontal-relative:margin" fillcolor="#cf6" strokeweight="1pt">
            <v:fill color2="#4e6128 [1606]" rotate="t" angle="-90" focus="100%" type="gradient"/>
            <o:lock v:ext="edit" aspectratio="t"/>
            <v:textbox style="mso-next-textbox:#_x0000_s1645">
              <w:txbxContent>
                <w:p w:rsidR="00624459" w:rsidRPr="00DD2F9B" w:rsidRDefault="00624459" w:rsidP="00624459">
                  <w:pPr>
                    <w:jc w:val="center"/>
                    <w:rPr>
                      <w:rFonts w:ascii="Colonna MT" w:hAnsi="Colonna MT"/>
                      <w:b/>
                      <w:sz w:val="40"/>
                      <w:szCs w:val="40"/>
                    </w:rPr>
                  </w:pPr>
                  <w:r>
                    <w:rPr>
                      <w:rFonts w:ascii="Colonna MT" w:hAnsi="Colonna MT"/>
                      <w:b/>
                      <w:sz w:val="40"/>
                      <w:szCs w:val="40"/>
                    </w:rPr>
                    <w:t>G</w:t>
                  </w:r>
                </w:p>
              </w:txbxContent>
            </v:textbox>
            <w10:wrap anchorx="margin"/>
          </v:shape>
        </w:pict>
      </w:r>
      <w:r w:rsidR="009811EF">
        <w:rPr>
          <w:noProof/>
          <w:lang w:eastAsia="fr-FR" w:bidi="ar-SA"/>
        </w:rPr>
        <w:drawing>
          <wp:anchor distT="0" distB="0" distL="114300" distR="114300" simplePos="0" relativeHeight="252089344" behindDoc="0" locked="0" layoutInCell="1" allowOverlap="1">
            <wp:simplePos x="0" y="0"/>
            <wp:positionH relativeFrom="margin">
              <wp:posOffset>-15240</wp:posOffset>
            </wp:positionH>
            <wp:positionV relativeFrom="margin">
              <wp:posOffset>699135</wp:posOffset>
            </wp:positionV>
            <wp:extent cx="4429125" cy="2667000"/>
            <wp:effectExtent l="0" t="0" r="0" b="0"/>
            <wp:wrapThrough wrapText="bothSides">
              <wp:wrapPolygon edited="0">
                <wp:start x="1022" y="617"/>
                <wp:lineTo x="279" y="2160"/>
                <wp:lineTo x="372" y="2931"/>
                <wp:lineTo x="10777" y="3086"/>
                <wp:lineTo x="557" y="5400"/>
                <wp:lineTo x="557" y="6171"/>
                <wp:lineTo x="12821" y="8023"/>
                <wp:lineTo x="650" y="8486"/>
                <wp:lineTo x="650" y="9257"/>
                <wp:lineTo x="10777" y="10491"/>
                <wp:lineTo x="836" y="10491"/>
                <wp:lineTo x="650" y="12497"/>
                <wp:lineTo x="3530" y="12960"/>
                <wp:lineTo x="1208" y="14657"/>
                <wp:lineTo x="557" y="15120"/>
                <wp:lineTo x="650" y="15737"/>
                <wp:lineTo x="9755" y="17897"/>
                <wp:lineTo x="929" y="18051"/>
                <wp:lineTo x="836" y="18669"/>
                <wp:lineTo x="3345" y="20366"/>
                <wp:lineTo x="3252" y="20520"/>
                <wp:lineTo x="14865" y="20520"/>
                <wp:lineTo x="15050" y="19903"/>
                <wp:lineTo x="14028" y="19286"/>
                <wp:lineTo x="10777" y="17897"/>
                <wp:lineTo x="12728" y="17897"/>
                <wp:lineTo x="19417" y="16046"/>
                <wp:lineTo x="19603" y="15120"/>
                <wp:lineTo x="15701" y="14657"/>
                <wp:lineTo x="3902" y="12960"/>
                <wp:lineTo x="19974" y="12343"/>
                <wp:lineTo x="20067" y="11571"/>
                <wp:lineTo x="10777" y="10491"/>
                <wp:lineTo x="12914" y="10491"/>
                <wp:lineTo x="19974" y="8640"/>
                <wp:lineTo x="20253" y="4166"/>
                <wp:lineTo x="18859" y="3857"/>
                <wp:lineTo x="10777" y="3086"/>
                <wp:lineTo x="14865" y="1543"/>
                <wp:lineTo x="14865" y="617"/>
                <wp:lineTo x="10870" y="617"/>
                <wp:lineTo x="1022" y="617"/>
              </wp:wrapPolygon>
            </wp:wrapThrough>
            <wp:docPr id="9"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Start w:id="17" w:name="_Toc336593319"/>
      <w:r w:rsidR="008C56A8" w:rsidRPr="00E329FA">
        <w:t>Consommation énergétique en France par secteur d’activité</w:t>
      </w:r>
      <w:bookmarkEnd w:id="17"/>
    </w:p>
    <w:p w:rsidR="00B54540" w:rsidRDefault="00A454F2">
      <w:pPr>
        <w:widowControl/>
        <w:suppressAutoHyphens w:val="0"/>
        <w:rPr>
          <w:rFonts w:asciiTheme="minorHAnsi" w:hAnsiTheme="minorHAnsi" w:cs="Optima"/>
          <w:b/>
          <w:sz w:val="28"/>
        </w:rPr>
      </w:pPr>
      <w:r w:rsidRPr="00A454F2">
        <w:rPr>
          <w:noProof/>
          <w:lang w:eastAsia="fr-FR" w:bidi="ar-SA"/>
        </w:rPr>
        <w:pict>
          <v:shape id="_x0000_s1648" type="#_x0000_t202" style="position:absolute;margin-left:-28.35pt;margin-top:129.6pt;width:27.7pt;height:44.85pt;z-index:252286976;mso-position-horizontal-relative:margin" fillcolor="#fe6e6e" strokeweight="1pt">
            <v:fill color2="#a40037" rotate="t" angle="-90" focus="100%" type="gradient"/>
            <o:lock v:ext="edit" aspectratio="t"/>
            <v:textbox style="mso-next-textbox:#_x0000_s1648">
              <w:txbxContent>
                <w:p w:rsidR="00624459" w:rsidRPr="00DD2F9B" w:rsidRDefault="00624459" w:rsidP="00624459">
                  <w:pPr>
                    <w:jc w:val="center"/>
                    <w:rPr>
                      <w:rFonts w:ascii="Colonna MT" w:hAnsi="Colonna MT"/>
                      <w:b/>
                      <w:sz w:val="40"/>
                      <w:szCs w:val="40"/>
                    </w:rPr>
                  </w:pPr>
                  <w:r>
                    <w:rPr>
                      <w:rFonts w:ascii="Colonna MT" w:hAnsi="Colonna MT"/>
                      <w:b/>
                      <w:sz w:val="40"/>
                      <w:szCs w:val="40"/>
                    </w:rPr>
                    <w:t>W</w:t>
                  </w:r>
                </w:p>
              </w:txbxContent>
            </v:textbox>
            <w10:wrap anchorx="margin"/>
          </v:shape>
        </w:pict>
      </w:r>
      <w:r w:rsidRPr="00A454F2">
        <w:rPr>
          <w:noProof/>
          <w:lang w:eastAsia="fr-FR" w:bidi="ar-SA"/>
        </w:rPr>
        <w:pict>
          <v:shape id="_x0000_s1646" type="#_x0000_t202" style="position:absolute;margin-left:-28.35pt;margin-top:30.6pt;width:27.7pt;height:44.85pt;z-index:252284928;mso-position-horizontal-relative:margin" fillcolor="#005ade" strokeweight="1pt">
            <v:fill color2="#396" rotate="t" angle="-90" focus="100%" type="gradient"/>
            <o:lock v:ext="edit" aspectratio="t"/>
            <v:textbox style="mso-next-textbox:#_x0000_s1646">
              <w:txbxContent>
                <w:p w:rsidR="00624459" w:rsidRPr="00DD2F9B" w:rsidRDefault="00624459" w:rsidP="00624459">
                  <w:pPr>
                    <w:jc w:val="center"/>
                    <w:rPr>
                      <w:rFonts w:ascii="Colonna MT" w:hAnsi="Colonna MT"/>
                      <w:b/>
                      <w:sz w:val="40"/>
                      <w:szCs w:val="40"/>
                    </w:rPr>
                  </w:pPr>
                  <w:r>
                    <w:rPr>
                      <w:rFonts w:ascii="Colonna MT" w:hAnsi="Colonna MT"/>
                      <w:b/>
                      <w:sz w:val="40"/>
                      <w:szCs w:val="40"/>
                    </w:rPr>
                    <w:t>T</w:t>
                  </w:r>
                </w:p>
              </w:txbxContent>
            </v:textbox>
            <w10:wrap anchorx="margin"/>
          </v:shape>
        </w:pict>
      </w:r>
      <w:r w:rsidRPr="00A454F2">
        <w:rPr>
          <w:noProof/>
          <w:lang w:eastAsia="fr-FR" w:bidi="ar-SA"/>
        </w:rPr>
        <w:pict>
          <v:shape id="_x0000_s1647" type="#_x0000_t202" style="position:absolute;margin-left:-28.35pt;margin-top:80.1pt;width:27.7pt;height:44.85pt;z-index:252285952;mso-position-horizontal-relative:margin" fillcolor="#92d050" strokeweight="1pt">
            <v:fill color2="#2c8469" rotate="t" angle="-90" focus="100%" type="gradient"/>
            <o:lock v:ext="edit" aspectratio="t"/>
            <v:textbox style="mso-next-textbox:#_x0000_s1647">
              <w:txbxContent>
                <w:p w:rsidR="00624459" w:rsidRPr="00DD2F9B" w:rsidRDefault="00624459" w:rsidP="00624459">
                  <w:pPr>
                    <w:jc w:val="center"/>
                    <w:rPr>
                      <w:rFonts w:ascii="Colonna MT" w:hAnsi="Colonna MT"/>
                      <w:b/>
                      <w:sz w:val="40"/>
                      <w:szCs w:val="40"/>
                    </w:rPr>
                  </w:pPr>
                  <w:r>
                    <w:rPr>
                      <w:rFonts w:ascii="Colonna MT" w:hAnsi="Colonna MT"/>
                      <w:b/>
                      <w:sz w:val="40"/>
                      <w:szCs w:val="40"/>
                    </w:rPr>
                    <w:t>U</w:t>
                  </w:r>
                </w:p>
              </w:txbxContent>
            </v:textbox>
            <w10:wrap anchorx="margin"/>
          </v:shape>
        </w:pict>
      </w:r>
      <w:r w:rsidR="00DB6536">
        <w:rPr>
          <w:noProof/>
          <w:lang w:eastAsia="fr-FR" w:bidi="ar-SA"/>
        </w:rPr>
        <w:drawing>
          <wp:anchor distT="0" distB="0" distL="114300" distR="114300" simplePos="0" relativeHeight="252090368" behindDoc="0" locked="0" layoutInCell="1" allowOverlap="1">
            <wp:simplePos x="0" y="0"/>
            <wp:positionH relativeFrom="column">
              <wp:posOffset>962025</wp:posOffset>
            </wp:positionH>
            <wp:positionV relativeFrom="paragraph">
              <wp:posOffset>62865</wp:posOffset>
            </wp:positionV>
            <wp:extent cx="4800600" cy="2505075"/>
            <wp:effectExtent l="0" t="0" r="0" b="0"/>
            <wp:wrapThrough wrapText="bothSides">
              <wp:wrapPolygon edited="0">
                <wp:start x="4029" y="329"/>
                <wp:lineTo x="3000" y="329"/>
                <wp:lineTo x="3171" y="1478"/>
                <wp:lineTo x="10800" y="2957"/>
                <wp:lineTo x="8143" y="4435"/>
                <wp:lineTo x="8143" y="5256"/>
                <wp:lineTo x="11743" y="5585"/>
                <wp:lineTo x="11743" y="8049"/>
                <wp:lineTo x="12000" y="8213"/>
                <wp:lineTo x="16714" y="8213"/>
                <wp:lineTo x="10886" y="10841"/>
                <wp:lineTo x="10800" y="13469"/>
                <wp:lineTo x="5743" y="13469"/>
                <wp:lineTo x="5657" y="14290"/>
                <wp:lineTo x="6171" y="14290"/>
                <wp:lineTo x="6514" y="14290"/>
                <wp:lineTo x="6771" y="14290"/>
                <wp:lineTo x="10029" y="13633"/>
                <wp:lineTo x="10714" y="13469"/>
                <wp:lineTo x="10714" y="10841"/>
                <wp:lineTo x="11057" y="10841"/>
                <wp:lineTo x="17229" y="8377"/>
                <wp:lineTo x="17229" y="8213"/>
                <wp:lineTo x="17743" y="8213"/>
                <wp:lineTo x="17657" y="7556"/>
                <wp:lineTo x="16971" y="5256"/>
                <wp:lineTo x="10800" y="2957"/>
                <wp:lineTo x="18343" y="1314"/>
                <wp:lineTo x="18514" y="493"/>
                <wp:lineTo x="15171" y="329"/>
                <wp:lineTo x="4029" y="329"/>
              </wp:wrapPolygon>
            </wp:wrapThrough>
            <wp:docPr id="16"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B6536">
        <w:rPr>
          <w:noProof/>
          <w:lang w:eastAsia="fr-FR" w:bidi="ar-SA"/>
        </w:rPr>
        <w:drawing>
          <wp:anchor distT="0" distB="0" distL="114300" distR="114300" simplePos="0" relativeHeight="252091392" behindDoc="0" locked="0" layoutInCell="1" allowOverlap="1">
            <wp:simplePos x="0" y="0"/>
            <wp:positionH relativeFrom="column">
              <wp:posOffset>419100</wp:posOffset>
            </wp:positionH>
            <wp:positionV relativeFrom="paragraph">
              <wp:posOffset>567690</wp:posOffset>
            </wp:positionV>
            <wp:extent cx="5524500" cy="2466975"/>
            <wp:effectExtent l="0" t="0" r="0" b="0"/>
            <wp:wrapSquare wrapText="bothSides"/>
            <wp:docPr id="14"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DA705A">
        <w:rPr>
          <w:noProof/>
          <w:lang w:eastAsia="fr-FR" w:bidi="ar-SA"/>
        </w:rPr>
        <w:drawing>
          <wp:anchor distT="0" distB="0" distL="114300" distR="114300" simplePos="0" relativeHeight="252092416" behindDoc="0" locked="0" layoutInCell="1" allowOverlap="1">
            <wp:simplePos x="0" y="0"/>
            <wp:positionH relativeFrom="column">
              <wp:posOffset>3400425</wp:posOffset>
            </wp:positionH>
            <wp:positionV relativeFrom="paragraph">
              <wp:posOffset>2625090</wp:posOffset>
            </wp:positionV>
            <wp:extent cx="2867025" cy="3324225"/>
            <wp:effectExtent l="2057400" t="0" r="0" b="0"/>
            <wp:wrapThrough wrapText="bothSides">
              <wp:wrapPolygon edited="0">
                <wp:start x="8037" y="1609"/>
                <wp:lineTo x="1005" y="1857"/>
                <wp:lineTo x="574" y="3590"/>
                <wp:lineTo x="2870" y="3590"/>
                <wp:lineTo x="4593" y="5570"/>
                <wp:lineTo x="861" y="5570"/>
                <wp:lineTo x="1148" y="7179"/>
                <wp:lineTo x="18084" y="7551"/>
                <wp:lineTo x="1148" y="8170"/>
                <wp:lineTo x="861" y="8665"/>
                <wp:lineTo x="2870" y="9531"/>
                <wp:lineTo x="1005" y="10893"/>
                <wp:lineTo x="5310" y="11512"/>
                <wp:lineTo x="1005" y="13368"/>
                <wp:lineTo x="3588" y="15225"/>
                <wp:lineTo x="1435" y="15844"/>
                <wp:lineTo x="1435" y="16339"/>
                <wp:lineTo x="4736" y="17453"/>
                <wp:lineTo x="3014" y="19434"/>
                <wp:lineTo x="-15500" y="20177"/>
                <wp:lineTo x="-15500" y="21043"/>
                <wp:lineTo x="-1722" y="21043"/>
                <wp:lineTo x="20093" y="21043"/>
                <wp:lineTo x="21385" y="21043"/>
                <wp:lineTo x="20524" y="20177"/>
                <wp:lineTo x="2870" y="19434"/>
                <wp:lineTo x="5741" y="19434"/>
                <wp:lineTo x="20524" y="17453"/>
                <wp:lineTo x="20811" y="15844"/>
                <wp:lineTo x="15787" y="15473"/>
                <wp:lineTo x="20667" y="14730"/>
                <wp:lineTo x="19806" y="13616"/>
                <wp:lineTo x="2727" y="13492"/>
                <wp:lineTo x="20524" y="12378"/>
                <wp:lineTo x="20667" y="11759"/>
                <wp:lineTo x="16074" y="11388"/>
                <wp:lineTo x="15931" y="10150"/>
                <wp:lineTo x="2870" y="9531"/>
                <wp:lineTo x="5741" y="9531"/>
                <wp:lineTo x="20524" y="7922"/>
                <wp:lineTo x="20667" y="7303"/>
                <wp:lineTo x="6746" y="5570"/>
                <wp:lineTo x="20524" y="4580"/>
                <wp:lineTo x="20380" y="3961"/>
                <wp:lineTo x="7176" y="3590"/>
                <wp:lineTo x="17653" y="2228"/>
                <wp:lineTo x="17510" y="1609"/>
                <wp:lineTo x="8037" y="1609"/>
              </wp:wrapPolygon>
            </wp:wrapThrough>
            <wp:docPr id="2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A705A">
        <w:rPr>
          <w:noProof/>
          <w:lang w:eastAsia="fr-FR" w:bidi="ar-SA"/>
        </w:rPr>
        <w:drawing>
          <wp:anchor distT="0" distB="0" distL="114300" distR="114300" simplePos="0" relativeHeight="252093440" behindDoc="0" locked="0" layoutInCell="1" allowOverlap="1">
            <wp:simplePos x="0" y="0"/>
            <wp:positionH relativeFrom="page">
              <wp:align>center</wp:align>
            </wp:positionH>
            <wp:positionV relativeFrom="paragraph">
              <wp:posOffset>2625090</wp:posOffset>
            </wp:positionV>
            <wp:extent cx="2867025" cy="2962275"/>
            <wp:effectExtent l="0" t="0" r="0" b="0"/>
            <wp:wrapThrough wrapText="bothSides">
              <wp:wrapPolygon edited="0">
                <wp:start x="9616" y="2084"/>
                <wp:lineTo x="574" y="3334"/>
                <wp:lineTo x="574" y="4167"/>
                <wp:lineTo x="4736" y="4584"/>
                <wp:lineTo x="4736" y="5278"/>
                <wp:lineTo x="10764" y="6529"/>
                <wp:lineTo x="10908" y="8751"/>
                <wp:lineTo x="861" y="10696"/>
                <wp:lineTo x="861" y="11251"/>
                <wp:lineTo x="9759" y="13196"/>
                <wp:lineTo x="10764" y="13196"/>
                <wp:lineTo x="10764" y="17641"/>
                <wp:lineTo x="1005" y="17780"/>
                <wp:lineTo x="861" y="18336"/>
                <wp:lineTo x="4593" y="19864"/>
                <wp:lineTo x="4593" y="19864"/>
                <wp:lineTo x="20524" y="19864"/>
                <wp:lineTo x="20811" y="19169"/>
                <wp:lineTo x="10621" y="17641"/>
                <wp:lineTo x="10764" y="15419"/>
                <wp:lineTo x="20524" y="13891"/>
                <wp:lineTo x="20524" y="13196"/>
                <wp:lineTo x="10764" y="13196"/>
                <wp:lineTo x="16218" y="11946"/>
                <wp:lineTo x="15787" y="11390"/>
                <wp:lineTo x="2870" y="10974"/>
                <wp:lineTo x="10764" y="8751"/>
                <wp:lineTo x="20237" y="8751"/>
                <wp:lineTo x="20237" y="8057"/>
                <wp:lineTo x="10764" y="6529"/>
                <wp:lineTo x="20093" y="5973"/>
                <wp:lineTo x="20380" y="5417"/>
                <wp:lineTo x="14639" y="4306"/>
                <wp:lineTo x="15787" y="4306"/>
                <wp:lineTo x="15787" y="2223"/>
                <wp:lineTo x="14639" y="2084"/>
                <wp:lineTo x="9616" y="2084"/>
              </wp:wrapPolygon>
            </wp:wrapThrough>
            <wp:docPr id="2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A705A">
        <w:rPr>
          <w:noProof/>
          <w:lang w:eastAsia="fr-FR" w:bidi="ar-SA"/>
        </w:rPr>
        <w:drawing>
          <wp:anchor distT="0" distB="0" distL="114300" distR="114300" simplePos="0" relativeHeight="252044288" behindDoc="0" locked="0" layoutInCell="1" allowOverlap="1">
            <wp:simplePos x="0" y="0"/>
            <wp:positionH relativeFrom="margin">
              <wp:posOffset>-358140</wp:posOffset>
            </wp:positionH>
            <wp:positionV relativeFrom="margin">
              <wp:posOffset>3318510</wp:posOffset>
            </wp:positionV>
            <wp:extent cx="9696450" cy="3324225"/>
            <wp:effectExtent l="0" t="0" r="0" b="0"/>
            <wp:wrapThrough wrapText="bothSides">
              <wp:wrapPolygon edited="0">
                <wp:start x="3352" y="1733"/>
                <wp:lineTo x="255" y="2228"/>
                <wp:lineTo x="170" y="3590"/>
                <wp:lineTo x="1400" y="3713"/>
                <wp:lineTo x="255" y="5694"/>
                <wp:lineTo x="255" y="6189"/>
                <wp:lineTo x="8445" y="7674"/>
                <wp:lineTo x="10779" y="7674"/>
                <wp:lineTo x="339" y="8170"/>
                <wp:lineTo x="255" y="8665"/>
                <wp:lineTo x="1358" y="9655"/>
                <wp:lineTo x="297" y="10769"/>
                <wp:lineTo x="339" y="11264"/>
                <wp:lineTo x="2758" y="11636"/>
                <wp:lineTo x="255" y="13368"/>
                <wp:lineTo x="255" y="14730"/>
                <wp:lineTo x="4626" y="15597"/>
                <wp:lineTo x="10779" y="15597"/>
                <wp:lineTo x="424" y="15844"/>
                <wp:lineTo x="382" y="16339"/>
                <wp:lineTo x="1400" y="17577"/>
                <wp:lineTo x="1358" y="18939"/>
                <wp:lineTo x="2419" y="19434"/>
                <wp:lineTo x="5602" y="19434"/>
                <wp:lineTo x="17229" y="19434"/>
                <wp:lineTo x="19775" y="19434"/>
                <wp:lineTo x="19606" y="18567"/>
                <wp:lineTo x="6068" y="17577"/>
                <wp:lineTo x="10736" y="15597"/>
                <wp:lineTo x="5729" y="13616"/>
                <wp:lineTo x="6153" y="13616"/>
                <wp:lineTo x="5983" y="12997"/>
                <wp:lineTo x="3437" y="11636"/>
                <wp:lineTo x="6068" y="10398"/>
                <wp:lineTo x="6111" y="9779"/>
                <wp:lineTo x="4753" y="9655"/>
                <wp:lineTo x="10779" y="7674"/>
                <wp:lineTo x="7469" y="6189"/>
                <wp:lineTo x="5814" y="5694"/>
                <wp:lineTo x="4923" y="5694"/>
                <wp:lineTo x="5983" y="3961"/>
                <wp:lineTo x="6026" y="3590"/>
                <wp:lineTo x="4159" y="1733"/>
                <wp:lineTo x="3352" y="1733"/>
              </wp:wrapPolygon>
            </wp:wrapThrough>
            <wp:docPr id="1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B54540">
        <w:br w:type="page"/>
      </w:r>
    </w:p>
    <w:p w:rsidR="008C56A8" w:rsidRPr="00E329FA" w:rsidRDefault="008C56A8" w:rsidP="00B54540">
      <w:pPr>
        <w:pStyle w:val="Doc-titre3"/>
      </w:pPr>
      <w:bookmarkStart w:id="18" w:name="_Toc336593320"/>
      <w:r w:rsidRPr="00E329FA">
        <w:lastRenderedPageBreak/>
        <w:t>Le développement durable</w:t>
      </w:r>
      <w:bookmarkEnd w:id="18"/>
    </w:p>
    <w:p w:rsidR="008C56A8" w:rsidRDefault="008C56A8" w:rsidP="009D7296">
      <w:pPr>
        <w:pStyle w:val="Doc-corpsdetexte"/>
      </w:pPr>
      <w:r>
        <w:t>En 2009, 1,4 milliards de personnes (sur une population de 6,8 milliards) n’avaient pas accès à l’électricité. Des inégalités existent au sein des pays en voie de développement, les pays les plus touchés sont l’Inde et l’Afrique sub-saharienne</w:t>
      </w:r>
      <w:r>
        <w:rPr>
          <w:rStyle w:val="Appelnotedebasdep"/>
        </w:rPr>
        <w:footnoteReference w:id="23"/>
      </w:r>
      <w:r>
        <w:t>.</w:t>
      </w:r>
    </w:p>
    <w:tbl>
      <w:tblPr>
        <w:tblStyle w:val="Grilledutableau"/>
        <w:tblW w:w="15451" w:type="dxa"/>
        <w:tblInd w:w="-459" w:type="dxa"/>
        <w:tblLook w:val="04A0"/>
      </w:tblPr>
      <w:tblGrid>
        <w:gridCol w:w="3827"/>
        <w:gridCol w:w="3827"/>
        <w:gridCol w:w="3827"/>
        <w:gridCol w:w="3970"/>
      </w:tblGrid>
      <w:tr w:rsidR="008C56A8" w:rsidTr="00B63618">
        <w:tc>
          <w:tcPr>
            <w:tcW w:w="3827" w:type="dxa"/>
            <w:tcBorders>
              <w:top w:val="nil"/>
              <w:left w:val="nil"/>
            </w:tcBorders>
          </w:tcPr>
          <w:p w:rsidR="008C56A8" w:rsidRDefault="008C56A8" w:rsidP="00710419">
            <w:pPr>
              <w:pStyle w:val="Doc-corpsdetexte"/>
              <w:spacing w:after="0"/>
              <w:ind w:firstLine="0"/>
            </w:pPr>
          </w:p>
        </w:tc>
        <w:tc>
          <w:tcPr>
            <w:tcW w:w="3827" w:type="dxa"/>
            <w:vAlign w:val="center"/>
          </w:tcPr>
          <w:p w:rsidR="008C56A8" w:rsidRPr="00710419" w:rsidRDefault="008C56A8" w:rsidP="00710419">
            <w:pPr>
              <w:pStyle w:val="Doc-corpsdetexte"/>
              <w:spacing w:after="0"/>
              <w:ind w:firstLine="0"/>
              <w:rPr>
                <w:b/>
              </w:rPr>
            </w:pPr>
            <w:r w:rsidRPr="00710419">
              <w:rPr>
                <w:b/>
              </w:rPr>
              <w:t>Personnes sans accès à l’électricité</w:t>
            </w:r>
          </w:p>
        </w:tc>
        <w:tc>
          <w:tcPr>
            <w:tcW w:w="3827" w:type="dxa"/>
            <w:vAlign w:val="center"/>
          </w:tcPr>
          <w:p w:rsidR="008C56A8" w:rsidRPr="00710419" w:rsidRDefault="008C56A8" w:rsidP="00710419">
            <w:pPr>
              <w:pStyle w:val="Doc-corpsdetexte"/>
              <w:spacing w:after="0"/>
              <w:ind w:firstLine="0"/>
              <w:rPr>
                <w:b/>
              </w:rPr>
            </w:pPr>
            <w:r w:rsidRPr="00710419">
              <w:rPr>
                <w:b/>
              </w:rPr>
              <w:t>Taux d’électrification</w:t>
            </w:r>
          </w:p>
        </w:tc>
        <w:tc>
          <w:tcPr>
            <w:tcW w:w="3970" w:type="dxa"/>
            <w:vAlign w:val="center"/>
          </w:tcPr>
          <w:p w:rsidR="008C56A8" w:rsidRPr="00710419" w:rsidRDefault="008C56A8" w:rsidP="00710419">
            <w:pPr>
              <w:pStyle w:val="Doc-corpsdetexte"/>
              <w:spacing w:after="0"/>
              <w:ind w:firstLine="0"/>
              <w:rPr>
                <w:b/>
              </w:rPr>
            </w:pPr>
            <w:r w:rsidRPr="00710419">
              <w:rPr>
                <w:b/>
              </w:rPr>
              <w:t>PIB par habitant ($PPA)</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Afrique du Nord</w:t>
            </w:r>
          </w:p>
        </w:tc>
        <w:tc>
          <w:tcPr>
            <w:tcW w:w="3827" w:type="dxa"/>
            <w:vAlign w:val="center"/>
          </w:tcPr>
          <w:p w:rsidR="008C56A8" w:rsidRDefault="008C56A8" w:rsidP="00710419">
            <w:pPr>
              <w:pStyle w:val="Doc-corpsdetexte"/>
              <w:spacing w:after="0"/>
              <w:ind w:firstLine="0"/>
            </w:pPr>
            <w:r>
              <w:t>2 .10</w:t>
            </w:r>
            <w:r w:rsidRPr="00AA73D4">
              <w:rPr>
                <w:vertAlign w:val="superscript"/>
              </w:rPr>
              <w:t>6</w:t>
            </w:r>
          </w:p>
        </w:tc>
        <w:tc>
          <w:tcPr>
            <w:tcW w:w="3827" w:type="dxa"/>
            <w:vAlign w:val="center"/>
          </w:tcPr>
          <w:p w:rsidR="008C56A8" w:rsidRDefault="008C56A8" w:rsidP="00710419">
            <w:pPr>
              <w:pStyle w:val="Doc-corpsdetexte"/>
              <w:spacing w:after="0"/>
              <w:ind w:firstLine="0"/>
            </w:pPr>
            <w:r>
              <w:t>99 %</w:t>
            </w:r>
          </w:p>
        </w:tc>
        <w:tc>
          <w:tcPr>
            <w:tcW w:w="3970" w:type="dxa"/>
            <w:vAlign w:val="center"/>
          </w:tcPr>
          <w:p w:rsidR="008C56A8" w:rsidRDefault="008C56A8" w:rsidP="00710419">
            <w:pPr>
              <w:pStyle w:val="Doc-corpsdetexte"/>
              <w:spacing w:after="0"/>
              <w:ind w:firstLine="0"/>
            </w:pPr>
            <w:r>
              <w:t>6 139</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Afrique Sub-saharienne</w:t>
            </w:r>
          </w:p>
        </w:tc>
        <w:tc>
          <w:tcPr>
            <w:tcW w:w="3827" w:type="dxa"/>
            <w:vAlign w:val="center"/>
          </w:tcPr>
          <w:p w:rsidR="008C56A8" w:rsidRDefault="008C56A8" w:rsidP="00710419">
            <w:pPr>
              <w:pStyle w:val="Doc-corpsdetexte"/>
              <w:spacing w:after="0"/>
              <w:ind w:firstLine="0"/>
            </w:pPr>
            <w:r>
              <w:t>585 .10</w:t>
            </w:r>
            <w:r w:rsidRPr="00AA73D4">
              <w:rPr>
                <w:vertAlign w:val="superscript"/>
              </w:rPr>
              <w:t>6</w:t>
            </w:r>
          </w:p>
        </w:tc>
        <w:tc>
          <w:tcPr>
            <w:tcW w:w="3827" w:type="dxa"/>
            <w:vAlign w:val="center"/>
          </w:tcPr>
          <w:p w:rsidR="008C56A8" w:rsidRDefault="008C56A8" w:rsidP="00710419">
            <w:pPr>
              <w:pStyle w:val="Doc-corpsdetexte"/>
              <w:spacing w:after="0"/>
              <w:ind w:firstLine="0"/>
            </w:pPr>
            <w:r>
              <w:t>31 %</w:t>
            </w:r>
          </w:p>
        </w:tc>
        <w:tc>
          <w:tcPr>
            <w:tcW w:w="3970" w:type="dxa"/>
            <w:vAlign w:val="center"/>
          </w:tcPr>
          <w:p w:rsidR="008C56A8" w:rsidRDefault="008C56A8" w:rsidP="00710419">
            <w:pPr>
              <w:pStyle w:val="Doc-corpsdetexte"/>
              <w:spacing w:after="0"/>
              <w:ind w:firstLine="0"/>
            </w:pPr>
            <w:r>
              <w:t>2 015</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Chine</w:t>
            </w:r>
          </w:p>
        </w:tc>
        <w:tc>
          <w:tcPr>
            <w:tcW w:w="3827" w:type="dxa"/>
            <w:vAlign w:val="center"/>
          </w:tcPr>
          <w:p w:rsidR="008C56A8" w:rsidRDefault="008C56A8" w:rsidP="00710419">
            <w:pPr>
              <w:pStyle w:val="Doc-corpsdetexte"/>
              <w:spacing w:after="0"/>
              <w:ind w:firstLine="0"/>
            </w:pPr>
            <w:r>
              <w:t>8 .10</w:t>
            </w:r>
            <w:r w:rsidRPr="00AA73D4">
              <w:rPr>
                <w:vertAlign w:val="superscript"/>
              </w:rPr>
              <w:t>6</w:t>
            </w:r>
          </w:p>
        </w:tc>
        <w:tc>
          <w:tcPr>
            <w:tcW w:w="3827" w:type="dxa"/>
            <w:vAlign w:val="center"/>
          </w:tcPr>
          <w:p w:rsidR="008C56A8" w:rsidRDefault="008C56A8" w:rsidP="00710419">
            <w:pPr>
              <w:pStyle w:val="Doc-corpsdetexte"/>
              <w:spacing w:after="0"/>
              <w:ind w:firstLine="0"/>
            </w:pPr>
            <w:r>
              <w:t>99 %</w:t>
            </w:r>
          </w:p>
        </w:tc>
        <w:tc>
          <w:tcPr>
            <w:tcW w:w="3970" w:type="dxa"/>
            <w:vAlign w:val="center"/>
          </w:tcPr>
          <w:p w:rsidR="008C56A8" w:rsidRDefault="008C56A8" w:rsidP="00710419">
            <w:pPr>
              <w:pStyle w:val="Doc-corpsdetexte"/>
              <w:spacing w:after="0"/>
              <w:ind w:firstLine="0"/>
            </w:pPr>
            <w:r>
              <w:t>6 567</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Inde</w:t>
            </w:r>
          </w:p>
        </w:tc>
        <w:tc>
          <w:tcPr>
            <w:tcW w:w="3827" w:type="dxa"/>
            <w:vAlign w:val="center"/>
          </w:tcPr>
          <w:p w:rsidR="008C56A8" w:rsidRDefault="008C56A8" w:rsidP="00710419">
            <w:pPr>
              <w:pStyle w:val="Doc-corpsdetexte"/>
              <w:spacing w:after="0"/>
              <w:ind w:firstLine="0"/>
            </w:pPr>
            <w:r>
              <w:t>404 .10</w:t>
            </w:r>
            <w:r w:rsidRPr="00AA73D4">
              <w:rPr>
                <w:vertAlign w:val="superscript"/>
              </w:rPr>
              <w:t>6</w:t>
            </w:r>
          </w:p>
        </w:tc>
        <w:tc>
          <w:tcPr>
            <w:tcW w:w="3827" w:type="dxa"/>
            <w:vAlign w:val="center"/>
          </w:tcPr>
          <w:p w:rsidR="008C56A8" w:rsidRDefault="008C56A8" w:rsidP="00710419">
            <w:pPr>
              <w:pStyle w:val="Doc-corpsdetexte"/>
              <w:spacing w:after="0"/>
              <w:ind w:firstLine="0"/>
            </w:pPr>
            <w:r>
              <w:t>66 %</w:t>
            </w:r>
          </w:p>
        </w:tc>
        <w:tc>
          <w:tcPr>
            <w:tcW w:w="3970" w:type="dxa"/>
            <w:vAlign w:val="center"/>
          </w:tcPr>
          <w:p w:rsidR="008C56A8" w:rsidRDefault="008C56A8" w:rsidP="00710419">
            <w:pPr>
              <w:pStyle w:val="Doc-corpsdetexte"/>
              <w:spacing w:after="0"/>
              <w:ind w:firstLine="0"/>
            </w:pPr>
            <w:r>
              <w:t>3 099</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Reste de l’Asie</w:t>
            </w:r>
          </w:p>
        </w:tc>
        <w:tc>
          <w:tcPr>
            <w:tcW w:w="3827" w:type="dxa"/>
            <w:vAlign w:val="center"/>
          </w:tcPr>
          <w:p w:rsidR="008C56A8" w:rsidRDefault="008C56A8" w:rsidP="00710419">
            <w:pPr>
              <w:pStyle w:val="Doc-corpsdetexte"/>
              <w:spacing w:after="0"/>
              <w:ind w:firstLine="0"/>
            </w:pPr>
            <w:r>
              <w:t>387 .10</w:t>
            </w:r>
            <w:r w:rsidRPr="00AA73D4">
              <w:rPr>
                <w:vertAlign w:val="superscript"/>
              </w:rPr>
              <w:t>6</w:t>
            </w:r>
          </w:p>
        </w:tc>
        <w:tc>
          <w:tcPr>
            <w:tcW w:w="3827" w:type="dxa"/>
            <w:vAlign w:val="center"/>
          </w:tcPr>
          <w:p w:rsidR="008C56A8" w:rsidRDefault="008C56A8" w:rsidP="00710419">
            <w:pPr>
              <w:pStyle w:val="Doc-corpsdetexte"/>
              <w:spacing w:after="0"/>
              <w:ind w:firstLine="0"/>
            </w:pPr>
            <w:r>
              <w:t>65 %</w:t>
            </w:r>
          </w:p>
        </w:tc>
        <w:tc>
          <w:tcPr>
            <w:tcW w:w="3970" w:type="dxa"/>
            <w:vAlign w:val="center"/>
          </w:tcPr>
          <w:p w:rsidR="008C56A8" w:rsidRDefault="008C56A8" w:rsidP="00710419">
            <w:pPr>
              <w:pStyle w:val="Doc-corpsdetexte"/>
              <w:spacing w:after="0"/>
              <w:ind w:firstLine="0"/>
            </w:pPr>
            <w:r>
              <w:t>-</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Amérique latine</w:t>
            </w:r>
          </w:p>
        </w:tc>
        <w:tc>
          <w:tcPr>
            <w:tcW w:w="3827" w:type="dxa"/>
            <w:vAlign w:val="center"/>
          </w:tcPr>
          <w:p w:rsidR="008C56A8" w:rsidRDefault="008C56A8" w:rsidP="00710419">
            <w:pPr>
              <w:pStyle w:val="Doc-corpsdetexte"/>
              <w:spacing w:after="0"/>
              <w:ind w:firstLine="0"/>
            </w:pPr>
            <w:r>
              <w:t>31 .10</w:t>
            </w:r>
            <w:r w:rsidRPr="00AA73D4">
              <w:rPr>
                <w:vertAlign w:val="superscript"/>
              </w:rPr>
              <w:t>6</w:t>
            </w:r>
          </w:p>
        </w:tc>
        <w:tc>
          <w:tcPr>
            <w:tcW w:w="3827" w:type="dxa"/>
            <w:vAlign w:val="center"/>
          </w:tcPr>
          <w:p w:rsidR="008C56A8" w:rsidRDefault="008C56A8" w:rsidP="00710419">
            <w:pPr>
              <w:pStyle w:val="Doc-corpsdetexte"/>
              <w:spacing w:after="0"/>
              <w:ind w:firstLine="0"/>
            </w:pPr>
            <w:r>
              <w:t>93 %</w:t>
            </w:r>
          </w:p>
        </w:tc>
        <w:tc>
          <w:tcPr>
            <w:tcW w:w="3970" w:type="dxa"/>
            <w:tcBorders>
              <w:bottom w:val="single" w:sz="4" w:space="0" w:color="000000" w:themeColor="text1"/>
            </w:tcBorders>
            <w:vAlign w:val="center"/>
          </w:tcPr>
          <w:p w:rsidR="008C56A8" w:rsidRDefault="008C56A8" w:rsidP="00710419">
            <w:pPr>
              <w:pStyle w:val="Doc-corpsdetexte"/>
              <w:spacing w:after="0"/>
              <w:ind w:firstLine="0"/>
            </w:pPr>
            <w:r>
              <w:t>9 786</w:t>
            </w:r>
          </w:p>
        </w:tc>
      </w:tr>
      <w:tr w:rsidR="008C56A8" w:rsidTr="00B63618">
        <w:tc>
          <w:tcPr>
            <w:tcW w:w="3827" w:type="dxa"/>
            <w:vAlign w:val="center"/>
          </w:tcPr>
          <w:p w:rsidR="008C56A8" w:rsidRPr="006F46D9" w:rsidRDefault="008C56A8" w:rsidP="00710419">
            <w:pPr>
              <w:pStyle w:val="Doc-corpsdetexte"/>
              <w:spacing w:after="0"/>
              <w:ind w:firstLine="0"/>
              <w:rPr>
                <w:b/>
              </w:rPr>
            </w:pPr>
            <w:r w:rsidRPr="006F46D9">
              <w:rPr>
                <w:b/>
              </w:rPr>
              <w:t>Autres pays en développement</w:t>
            </w:r>
          </w:p>
        </w:tc>
        <w:tc>
          <w:tcPr>
            <w:tcW w:w="3827" w:type="dxa"/>
            <w:vAlign w:val="center"/>
          </w:tcPr>
          <w:p w:rsidR="008C56A8" w:rsidRDefault="008C56A8" w:rsidP="00710419">
            <w:pPr>
              <w:pStyle w:val="Doc-corpsdetexte"/>
              <w:spacing w:after="0"/>
              <w:ind w:firstLine="0"/>
            </w:pPr>
            <w:r>
              <w:t>1438 .10</w:t>
            </w:r>
            <w:r w:rsidRPr="00AA73D4">
              <w:rPr>
                <w:vertAlign w:val="superscript"/>
              </w:rPr>
              <w:t>6</w:t>
            </w:r>
          </w:p>
        </w:tc>
        <w:tc>
          <w:tcPr>
            <w:tcW w:w="3827" w:type="dxa"/>
            <w:vAlign w:val="center"/>
          </w:tcPr>
          <w:p w:rsidR="008C56A8" w:rsidRDefault="008C56A8" w:rsidP="00710419">
            <w:pPr>
              <w:pStyle w:val="Doc-corpsdetexte"/>
              <w:spacing w:after="0"/>
              <w:ind w:firstLine="0"/>
            </w:pPr>
            <w:r>
              <w:t>73 %</w:t>
            </w:r>
          </w:p>
        </w:tc>
        <w:tc>
          <w:tcPr>
            <w:tcW w:w="3970" w:type="dxa"/>
            <w:tcBorders>
              <w:bottom w:val="single" w:sz="4" w:space="0" w:color="auto"/>
              <w:right w:val="single" w:sz="4" w:space="0" w:color="auto"/>
            </w:tcBorders>
            <w:vAlign w:val="center"/>
          </w:tcPr>
          <w:p w:rsidR="008C56A8" w:rsidRDefault="008C56A8" w:rsidP="00710419">
            <w:pPr>
              <w:pStyle w:val="Doc-corpsdetexte"/>
              <w:spacing w:after="0"/>
              <w:ind w:firstLine="0"/>
            </w:pPr>
            <w:r>
              <w:t>-</w:t>
            </w:r>
          </w:p>
        </w:tc>
      </w:tr>
    </w:tbl>
    <w:p w:rsidR="008C56A8" w:rsidRPr="00B152FE" w:rsidRDefault="008C56A8" w:rsidP="00B63618">
      <w:pPr>
        <w:pStyle w:val="Doc-corpsdetexte"/>
        <w:tabs>
          <w:tab w:val="right" w:pos="14855"/>
        </w:tabs>
        <w:spacing w:after="0"/>
        <w:ind w:left="-567" w:firstLine="0"/>
        <w:rPr>
          <w:i/>
        </w:rPr>
      </w:pPr>
      <w:r w:rsidRPr="00B152FE">
        <w:t>PIB : produit intérieur brut</w:t>
      </w:r>
      <w:r w:rsidRPr="00B152FE">
        <w:tab/>
      </w:r>
      <w:r w:rsidR="00B63618">
        <w:rPr>
          <w:i/>
        </w:rPr>
        <w:t>S</w:t>
      </w:r>
      <w:r w:rsidRPr="00B152FE">
        <w:rPr>
          <w:i/>
        </w:rPr>
        <w:t>ource : OECD /IEA</w:t>
      </w:r>
    </w:p>
    <w:p w:rsidR="008C56A8" w:rsidRDefault="008C56A8" w:rsidP="00710419">
      <w:pPr>
        <w:pStyle w:val="Doc-corpsdetexte"/>
        <w:ind w:left="-567" w:firstLine="0"/>
      </w:pPr>
      <w:r w:rsidRPr="00B152FE">
        <w:t>$PPA : dollars parité de pouvoir d’achat (</w:t>
      </w:r>
      <w:r>
        <w:t>comparaison du pouvoir d’achat en fonction du coût de la vie, utilisant le dol</w:t>
      </w:r>
      <w:r w:rsidR="00B63618">
        <w:t xml:space="preserve">lar comme monnaie de référence. </w:t>
      </w:r>
      <w:r>
        <w:t>Se base sur la quantité de biens et services que permettent d’acheter une devise, selon une norme typique de chaque pays</w:t>
      </w:r>
      <w:r w:rsidRPr="00B152FE">
        <w:t>)</w:t>
      </w:r>
    </w:p>
    <w:p w:rsidR="00C0396D" w:rsidRPr="00B152FE" w:rsidRDefault="00C0396D" w:rsidP="00710419">
      <w:pPr>
        <w:pStyle w:val="Doc-corpsdetexte"/>
        <w:ind w:left="-567" w:firstLine="0"/>
      </w:pPr>
    </w:p>
    <w:p w:rsidR="008C56A8" w:rsidRDefault="00A454F2" w:rsidP="00C0396D">
      <w:pPr>
        <w:pStyle w:val="Doc-titre5"/>
      </w:pPr>
      <w:r>
        <w:rPr>
          <w:noProof/>
          <w:lang w:eastAsia="fr-FR" w:bidi="ar-SA"/>
        </w:rPr>
        <w:pict>
          <v:shape id="_x0000_s1649" type="#_x0000_t202" style="position:absolute;left:0;text-align:left;margin-left:-28.35pt;margin-top:6.6pt;width:27.7pt;height:44.85pt;z-index:252288000;mso-position-horizontal-relative:margin" fillcolor="#d20028" strokeweight="1pt">
            <v:fill color2="#fc6" rotate="t" angle="-90" type="gradient"/>
            <o:lock v:ext="edit" aspectratio="t"/>
            <v:textbox style="mso-next-textbox:#_x0000_s1649">
              <w:txbxContent>
                <w:p w:rsidR="00710419" w:rsidRPr="00DD2F9B" w:rsidRDefault="00710419" w:rsidP="00710419">
                  <w:pPr>
                    <w:jc w:val="center"/>
                    <w:rPr>
                      <w:rFonts w:ascii="Colonna MT" w:hAnsi="Colonna MT"/>
                      <w:b/>
                      <w:sz w:val="40"/>
                      <w:szCs w:val="40"/>
                    </w:rPr>
                  </w:pPr>
                  <w:r>
                    <w:rPr>
                      <w:rFonts w:ascii="Colonna MT" w:hAnsi="Colonna MT"/>
                      <w:b/>
                      <w:sz w:val="40"/>
                      <w:szCs w:val="40"/>
                    </w:rPr>
                    <w:t>D</w:t>
                  </w:r>
                </w:p>
              </w:txbxContent>
            </v:textbox>
            <w10:wrap anchorx="margin"/>
          </v:shape>
        </w:pict>
      </w:r>
      <w:r w:rsidR="008C56A8">
        <w:t>Les politiques énergétiques doivent prend</w:t>
      </w:r>
      <w:r w:rsidR="00C0396D">
        <w:t>re en compte plusieurs aspects</w:t>
      </w:r>
    </w:p>
    <w:p w:rsidR="008C56A8" w:rsidRDefault="008C56A8" w:rsidP="00334336">
      <w:pPr>
        <w:pStyle w:val="Doc-corpsdetexte"/>
        <w:numPr>
          <w:ilvl w:val="0"/>
          <w:numId w:val="3"/>
        </w:numPr>
        <w:ind w:left="567" w:hanging="283"/>
      </w:pPr>
      <w:r w:rsidRPr="0039197D">
        <w:rPr>
          <w:i/>
        </w:rPr>
        <w:t>Environnemental</w:t>
      </w:r>
      <w:r>
        <w:t> : les pollutions liées à l’activité humaine sont en train de bouleverser l’équilibre des écosystèmes.</w:t>
      </w:r>
    </w:p>
    <w:p w:rsidR="00C0396D" w:rsidRDefault="00A454F2" w:rsidP="00334336">
      <w:pPr>
        <w:pStyle w:val="Doc-corpsdetexte"/>
        <w:numPr>
          <w:ilvl w:val="0"/>
          <w:numId w:val="3"/>
        </w:numPr>
        <w:ind w:left="567" w:hanging="283"/>
      </w:pPr>
      <w:r w:rsidRPr="00A454F2">
        <w:rPr>
          <w:i/>
          <w:noProof/>
          <w:lang w:eastAsia="fr-FR" w:bidi="ar-SA"/>
        </w:rPr>
        <w:pict>
          <v:shape id="_x0000_s1650" type="#_x0000_t202" style="position:absolute;left:0;text-align:left;margin-left:-28.35pt;margin-top:12.6pt;width:27.7pt;height:44.85pt;z-index:252289024;mso-position-horizontal-relative:margin" fillcolor="#f93" strokeweight="1pt">
            <v:fill color2="#c60" rotate="t" angle="-90" focus="100%" type="gradient"/>
            <o:lock v:ext="edit" aspectratio="t"/>
            <v:textbox style="mso-next-textbox:#_x0000_s1650">
              <w:txbxContent>
                <w:p w:rsidR="00B63618" w:rsidRPr="00DD2F9B" w:rsidRDefault="00B63618" w:rsidP="00B63618">
                  <w:pPr>
                    <w:jc w:val="center"/>
                    <w:rPr>
                      <w:rFonts w:ascii="Colonna MT" w:hAnsi="Colonna MT"/>
                      <w:b/>
                      <w:sz w:val="40"/>
                      <w:szCs w:val="40"/>
                    </w:rPr>
                  </w:pPr>
                  <w:r>
                    <w:rPr>
                      <w:rFonts w:ascii="Colonna MT" w:hAnsi="Colonna MT"/>
                      <w:b/>
                      <w:sz w:val="40"/>
                      <w:szCs w:val="40"/>
                    </w:rPr>
                    <w:t>M</w:t>
                  </w:r>
                </w:p>
              </w:txbxContent>
            </v:textbox>
            <w10:wrap anchorx="margin"/>
          </v:shape>
        </w:pict>
      </w:r>
      <w:r w:rsidRPr="00A454F2">
        <w:rPr>
          <w:i/>
          <w:noProof/>
          <w:lang w:eastAsia="fr-FR" w:bidi="ar-SA"/>
        </w:rPr>
        <w:pict>
          <v:shape id="_x0000_s1651" type="#_x0000_t202" style="position:absolute;left:0;text-align:left;margin-left:-28.35pt;margin-top:64.95pt;width:27.7pt;height:44.85pt;z-index:252290048;mso-position-horizontal-relative:margin" fillcolor="#7a34ae" strokeweight="1pt">
            <v:fill color2="#ff3809" rotate="t" angle="-90" focus="100%" type="gradient"/>
            <o:lock v:ext="edit" aspectratio="t"/>
            <v:textbox style="mso-next-textbox:#_x0000_s1651">
              <w:txbxContent>
                <w:p w:rsidR="00B63618" w:rsidRPr="00DD2F9B" w:rsidRDefault="00B63618" w:rsidP="00B63618">
                  <w:pPr>
                    <w:jc w:val="center"/>
                    <w:rPr>
                      <w:rFonts w:ascii="Colonna MT" w:hAnsi="Colonna MT"/>
                      <w:b/>
                      <w:sz w:val="40"/>
                      <w:szCs w:val="40"/>
                    </w:rPr>
                  </w:pPr>
                  <w:r>
                    <w:rPr>
                      <w:rFonts w:ascii="Colonna MT" w:hAnsi="Colonna MT"/>
                      <w:b/>
                      <w:sz w:val="40"/>
                      <w:szCs w:val="40"/>
                    </w:rPr>
                    <w:t>Q</w:t>
                  </w:r>
                </w:p>
              </w:txbxContent>
            </v:textbox>
            <w10:wrap anchorx="margin"/>
          </v:shape>
        </w:pict>
      </w:r>
      <w:r w:rsidR="008C56A8" w:rsidRPr="0039197D">
        <w:rPr>
          <w:i/>
        </w:rPr>
        <w:t>Social</w:t>
      </w:r>
      <w:r w:rsidR="008C56A8">
        <w:t> : le but est d’éviter les exclusions et d’offrir à chacun les mêmes chances. Ceci passe par l’éducation et l’accès aux ressources de première nécessité (eau, habitation, nourriture, travail, soins…) et dépend de l’accès aux sources énergétiques. L’Indice de Développement Humain (IDH) du Programme des Nations Unies pour le Développement (PNUD) se base sur l’espérance de vie, l’accès à l’éducation et le niveau de vie des populations</w:t>
      </w:r>
      <w:r w:rsidR="008C56A8">
        <w:rPr>
          <w:rStyle w:val="Appelnotedebasdep"/>
        </w:rPr>
        <w:footnoteReference w:id="24"/>
      </w:r>
      <w:r w:rsidR="008C56A8">
        <w:t>.</w:t>
      </w:r>
    </w:p>
    <w:p w:rsidR="00334336" w:rsidRDefault="00334336" w:rsidP="00334336">
      <w:pPr>
        <w:pStyle w:val="Doc-corpsdetexte"/>
        <w:numPr>
          <w:ilvl w:val="0"/>
          <w:numId w:val="3"/>
        </w:numPr>
        <w:ind w:left="567" w:hanging="283"/>
      </w:pPr>
      <w:r w:rsidRPr="0039197D">
        <w:rPr>
          <w:i/>
        </w:rPr>
        <w:t>Economique</w:t>
      </w:r>
      <w:r>
        <w:t> : production et consommation doivent s’équilibrer afin que le pays puisse se développer. L’accès aux sources d’énergie joue un rôle important. Faire venir les énergies fossiles sur le lieu de consommation a un coût, aussi bien économique que politique. Le développement des énergies renouvelables permettra de produire l’énergie localement.</w:t>
      </w:r>
    </w:p>
    <w:p w:rsidR="00C0396D" w:rsidRDefault="00C0396D">
      <w:pPr>
        <w:widowControl/>
        <w:suppressAutoHyphens w:val="0"/>
        <w:rPr>
          <w:rFonts w:asciiTheme="minorHAnsi" w:hAnsiTheme="minorHAnsi" w:cs="Optima"/>
        </w:rPr>
      </w:pPr>
    </w:p>
    <w:tbl>
      <w:tblPr>
        <w:tblStyle w:val="Grilledutableau"/>
        <w:tblW w:w="15451" w:type="dxa"/>
        <w:tblInd w:w="-459" w:type="dxa"/>
        <w:tblLook w:val="04A0"/>
      </w:tblPr>
      <w:tblGrid>
        <w:gridCol w:w="3855"/>
        <w:gridCol w:w="2863"/>
        <w:gridCol w:w="2864"/>
        <w:gridCol w:w="2863"/>
        <w:gridCol w:w="3006"/>
      </w:tblGrid>
      <w:tr w:rsidR="00B604B1" w:rsidRPr="00B604B1" w:rsidTr="00C0396D">
        <w:tc>
          <w:tcPr>
            <w:tcW w:w="3855" w:type="dxa"/>
            <w:tcBorders>
              <w:top w:val="nil"/>
              <w:left w:val="nil"/>
              <w:bottom w:val="single" w:sz="4" w:space="0" w:color="auto"/>
            </w:tcBorders>
            <w:vAlign w:val="center"/>
          </w:tcPr>
          <w:p w:rsidR="00B604B1" w:rsidRPr="00B604B1" w:rsidRDefault="00B604B1" w:rsidP="006F46D9">
            <w:pPr>
              <w:pStyle w:val="Doc-corpsdetexte"/>
              <w:spacing w:after="0"/>
              <w:ind w:firstLine="0"/>
            </w:pPr>
          </w:p>
        </w:tc>
        <w:tc>
          <w:tcPr>
            <w:tcW w:w="2863" w:type="dxa"/>
            <w:vAlign w:val="center"/>
          </w:tcPr>
          <w:p w:rsidR="00B604B1" w:rsidRPr="006F46D9" w:rsidRDefault="00B604B1" w:rsidP="006F46D9">
            <w:pPr>
              <w:pStyle w:val="Doc-corpsdetexte"/>
              <w:spacing w:after="0"/>
              <w:ind w:firstLine="0"/>
              <w:jc w:val="center"/>
              <w:rPr>
                <w:b/>
              </w:rPr>
            </w:pPr>
            <w:r w:rsidRPr="006F46D9">
              <w:rPr>
                <w:b/>
              </w:rPr>
              <w:t>IDH</w:t>
            </w:r>
            <w:r w:rsidR="008261AB" w:rsidRPr="006F46D9">
              <w:rPr>
                <w:b/>
              </w:rPr>
              <w:t xml:space="preserve"> en 2011</w:t>
            </w:r>
          </w:p>
        </w:tc>
        <w:tc>
          <w:tcPr>
            <w:tcW w:w="2864" w:type="dxa"/>
            <w:vAlign w:val="center"/>
          </w:tcPr>
          <w:p w:rsidR="00663D13" w:rsidRPr="006F46D9" w:rsidRDefault="00B604B1" w:rsidP="006F46D9">
            <w:pPr>
              <w:pStyle w:val="Doc-corpsdetexte"/>
              <w:spacing w:after="0"/>
              <w:ind w:firstLine="0"/>
              <w:jc w:val="center"/>
              <w:rPr>
                <w:b/>
              </w:rPr>
            </w:pPr>
            <w:r w:rsidRPr="006F46D9">
              <w:rPr>
                <w:b/>
              </w:rPr>
              <w:t>Espérance de vie</w:t>
            </w:r>
          </w:p>
          <w:p w:rsidR="00B604B1" w:rsidRPr="006F46D9" w:rsidRDefault="00B604B1" w:rsidP="006F46D9">
            <w:pPr>
              <w:pStyle w:val="Doc-corpsdetexte"/>
              <w:spacing w:after="0"/>
              <w:ind w:firstLine="0"/>
              <w:jc w:val="center"/>
              <w:rPr>
                <w:b/>
              </w:rPr>
            </w:pPr>
            <w:r w:rsidRPr="006F46D9">
              <w:rPr>
                <w:b/>
              </w:rPr>
              <w:t>(années)</w:t>
            </w:r>
          </w:p>
        </w:tc>
        <w:tc>
          <w:tcPr>
            <w:tcW w:w="2863" w:type="dxa"/>
            <w:vAlign w:val="center"/>
          </w:tcPr>
          <w:p w:rsidR="00B604B1" w:rsidRPr="006F46D9" w:rsidRDefault="00B604B1" w:rsidP="006F46D9">
            <w:pPr>
              <w:pStyle w:val="Doc-corpsdetexte"/>
              <w:spacing w:after="0"/>
              <w:ind w:firstLine="0"/>
              <w:jc w:val="center"/>
              <w:rPr>
                <w:b/>
              </w:rPr>
            </w:pPr>
            <w:r w:rsidRPr="006F46D9">
              <w:rPr>
                <w:b/>
              </w:rPr>
              <w:t>Durée moyenne de scolarisation (années)</w:t>
            </w:r>
          </w:p>
        </w:tc>
        <w:tc>
          <w:tcPr>
            <w:tcW w:w="3006" w:type="dxa"/>
            <w:vAlign w:val="center"/>
          </w:tcPr>
          <w:p w:rsidR="00B604B1" w:rsidRPr="006F46D9" w:rsidRDefault="00B604B1" w:rsidP="006F46D9">
            <w:pPr>
              <w:pStyle w:val="Doc-corpsdetexte"/>
              <w:spacing w:after="0"/>
              <w:ind w:firstLine="0"/>
              <w:jc w:val="center"/>
              <w:rPr>
                <w:b/>
              </w:rPr>
            </w:pPr>
            <w:r w:rsidRPr="006F46D9">
              <w:rPr>
                <w:b/>
              </w:rPr>
              <w:t xml:space="preserve">Produit national brut </w:t>
            </w:r>
            <w:r w:rsidR="00F256FC" w:rsidRPr="006F46D9">
              <w:rPr>
                <w:b/>
              </w:rPr>
              <w:t xml:space="preserve">par </w:t>
            </w:r>
            <w:r w:rsidRPr="006F46D9">
              <w:rPr>
                <w:b/>
              </w:rPr>
              <w:t>habitant ($PPA)</w:t>
            </w:r>
          </w:p>
        </w:tc>
      </w:tr>
      <w:tr w:rsidR="00B604B1" w:rsidTr="00C0396D">
        <w:tc>
          <w:tcPr>
            <w:tcW w:w="3855" w:type="dxa"/>
            <w:tcBorders>
              <w:top w:val="single" w:sz="4" w:space="0" w:color="auto"/>
            </w:tcBorders>
            <w:vAlign w:val="center"/>
          </w:tcPr>
          <w:p w:rsidR="00B604B1" w:rsidRPr="006F46D9" w:rsidRDefault="00B604B1" w:rsidP="006F46D9">
            <w:pPr>
              <w:pStyle w:val="Doc-corpsdetexte"/>
              <w:spacing w:after="0"/>
              <w:ind w:firstLine="0"/>
              <w:rPr>
                <w:b/>
              </w:rPr>
            </w:pPr>
            <w:r w:rsidRPr="006F46D9">
              <w:rPr>
                <w:b/>
              </w:rPr>
              <w:t>Norvège</w:t>
            </w:r>
          </w:p>
        </w:tc>
        <w:tc>
          <w:tcPr>
            <w:tcW w:w="2863" w:type="dxa"/>
            <w:vAlign w:val="center"/>
          </w:tcPr>
          <w:p w:rsidR="00B604B1" w:rsidRDefault="00D975A2" w:rsidP="006F46D9">
            <w:pPr>
              <w:pStyle w:val="Doc-corpsdetexte"/>
              <w:spacing w:after="0"/>
              <w:ind w:firstLine="0"/>
            </w:pPr>
            <w:r>
              <w:t>0,943</w:t>
            </w:r>
          </w:p>
        </w:tc>
        <w:tc>
          <w:tcPr>
            <w:tcW w:w="2864" w:type="dxa"/>
            <w:vAlign w:val="center"/>
          </w:tcPr>
          <w:p w:rsidR="00B604B1" w:rsidRDefault="00D975A2" w:rsidP="006F46D9">
            <w:pPr>
              <w:pStyle w:val="Doc-corpsdetexte"/>
              <w:spacing w:after="0"/>
              <w:ind w:firstLine="0"/>
            </w:pPr>
            <w:r>
              <w:t>81,1</w:t>
            </w:r>
          </w:p>
        </w:tc>
        <w:tc>
          <w:tcPr>
            <w:tcW w:w="2863" w:type="dxa"/>
            <w:vAlign w:val="center"/>
          </w:tcPr>
          <w:p w:rsidR="00B604B1" w:rsidRDefault="00D975A2" w:rsidP="006F46D9">
            <w:pPr>
              <w:pStyle w:val="Doc-corpsdetexte"/>
              <w:spacing w:after="0"/>
              <w:ind w:firstLine="0"/>
            </w:pPr>
            <w:r>
              <w:t>12,6</w:t>
            </w:r>
          </w:p>
        </w:tc>
        <w:tc>
          <w:tcPr>
            <w:tcW w:w="3006" w:type="dxa"/>
            <w:vAlign w:val="center"/>
          </w:tcPr>
          <w:p w:rsidR="00B604B1" w:rsidRDefault="00D975A2" w:rsidP="006F46D9">
            <w:pPr>
              <w:pStyle w:val="Doc-corpsdetexte"/>
              <w:spacing w:after="0"/>
              <w:ind w:firstLine="0"/>
            </w:pPr>
            <w:r>
              <w:t>47 557</w:t>
            </w:r>
          </w:p>
        </w:tc>
      </w:tr>
      <w:tr w:rsidR="00B604B1" w:rsidTr="00C0396D">
        <w:tc>
          <w:tcPr>
            <w:tcW w:w="3855" w:type="dxa"/>
            <w:vAlign w:val="center"/>
          </w:tcPr>
          <w:p w:rsidR="00B604B1" w:rsidRPr="006F46D9" w:rsidRDefault="00B604B1" w:rsidP="006F46D9">
            <w:pPr>
              <w:pStyle w:val="Doc-corpsdetexte"/>
              <w:spacing w:after="0"/>
              <w:ind w:firstLine="0"/>
              <w:rPr>
                <w:b/>
              </w:rPr>
            </w:pPr>
            <w:r w:rsidRPr="006F46D9">
              <w:rPr>
                <w:b/>
              </w:rPr>
              <w:t>France</w:t>
            </w:r>
          </w:p>
        </w:tc>
        <w:tc>
          <w:tcPr>
            <w:tcW w:w="2863" w:type="dxa"/>
            <w:vAlign w:val="center"/>
          </w:tcPr>
          <w:p w:rsidR="00B604B1" w:rsidRDefault="00D975A2" w:rsidP="006F46D9">
            <w:pPr>
              <w:pStyle w:val="Doc-corpsdetexte"/>
              <w:spacing w:after="0"/>
              <w:ind w:firstLine="0"/>
            </w:pPr>
            <w:r>
              <w:t>0,884</w:t>
            </w:r>
          </w:p>
        </w:tc>
        <w:tc>
          <w:tcPr>
            <w:tcW w:w="2864" w:type="dxa"/>
            <w:vAlign w:val="center"/>
          </w:tcPr>
          <w:p w:rsidR="00B604B1" w:rsidRDefault="00D975A2" w:rsidP="006F46D9">
            <w:pPr>
              <w:pStyle w:val="Doc-corpsdetexte"/>
              <w:spacing w:after="0"/>
              <w:ind w:firstLine="0"/>
            </w:pPr>
            <w:r>
              <w:t>81,5</w:t>
            </w:r>
          </w:p>
        </w:tc>
        <w:tc>
          <w:tcPr>
            <w:tcW w:w="2863" w:type="dxa"/>
            <w:vAlign w:val="center"/>
          </w:tcPr>
          <w:p w:rsidR="00B604B1" w:rsidRDefault="00D975A2" w:rsidP="006F46D9">
            <w:pPr>
              <w:pStyle w:val="Doc-corpsdetexte"/>
              <w:spacing w:after="0"/>
              <w:ind w:firstLine="0"/>
            </w:pPr>
            <w:r>
              <w:t>10,6</w:t>
            </w:r>
          </w:p>
        </w:tc>
        <w:tc>
          <w:tcPr>
            <w:tcW w:w="3006" w:type="dxa"/>
            <w:vAlign w:val="center"/>
          </w:tcPr>
          <w:p w:rsidR="00B604B1" w:rsidRDefault="00D975A2" w:rsidP="006F46D9">
            <w:pPr>
              <w:pStyle w:val="Doc-corpsdetexte"/>
              <w:spacing w:after="0"/>
              <w:ind w:firstLine="0"/>
            </w:pPr>
            <w:r>
              <w:t>30 462</w:t>
            </w:r>
          </w:p>
        </w:tc>
      </w:tr>
      <w:tr w:rsidR="00B604B1" w:rsidTr="00C0396D">
        <w:tc>
          <w:tcPr>
            <w:tcW w:w="3855" w:type="dxa"/>
            <w:vAlign w:val="center"/>
          </w:tcPr>
          <w:p w:rsidR="00B604B1" w:rsidRPr="006F46D9" w:rsidRDefault="00B604B1" w:rsidP="006F46D9">
            <w:pPr>
              <w:pStyle w:val="Doc-corpsdetexte"/>
              <w:spacing w:after="0"/>
              <w:ind w:firstLine="0"/>
              <w:rPr>
                <w:b/>
              </w:rPr>
            </w:pPr>
            <w:r w:rsidRPr="006F46D9">
              <w:rPr>
                <w:b/>
              </w:rPr>
              <w:t>R</w:t>
            </w:r>
            <w:r w:rsidR="00227B6D" w:rsidRPr="006F46D9">
              <w:rPr>
                <w:b/>
              </w:rPr>
              <w:t xml:space="preserve">épublique </w:t>
            </w:r>
            <w:r w:rsidRPr="006F46D9">
              <w:rPr>
                <w:b/>
              </w:rPr>
              <w:t>D</w:t>
            </w:r>
            <w:r w:rsidR="00227B6D" w:rsidRPr="006F46D9">
              <w:rPr>
                <w:b/>
              </w:rPr>
              <w:t>émocratique du</w:t>
            </w:r>
            <w:r w:rsidRPr="006F46D9">
              <w:rPr>
                <w:b/>
              </w:rPr>
              <w:t xml:space="preserve"> Congo</w:t>
            </w:r>
          </w:p>
        </w:tc>
        <w:tc>
          <w:tcPr>
            <w:tcW w:w="2863" w:type="dxa"/>
            <w:vAlign w:val="center"/>
          </w:tcPr>
          <w:p w:rsidR="00B604B1" w:rsidRDefault="00D975A2" w:rsidP="006F46D9">
            <w:pPr>
              <w:pStyle w:val="Doc-corpsdetexte"/>
              <w:spacing w:after="0"/>
              <w:ind w:firstLine="0"/>
            </w:pPr>
            <w:r>
              <w:t>0,286</w:t>
            </w:r>
          </w:p>
        </w:tc>
        <w:tc>
          <w:tcPr>
            <w:tcW w:w="2864" w:type="dxa"/>
            <w:vAlign w:val="center"/>
          </w:tcPr>
          <w:p w:rsidR="00B604B1" w:rsidRDefault="00D975A2" w:rsidP="006F46D9">
            <w:pPr>
              <w:pStyle w:val="Doc-corpsdetexte"/>
              <w:spacing w:after="0"/>
              <w:ind w:firstLine="0"/>
            </w:pPr>
            <w:r>
              <w:t>48,4</w:t>
            </w:r>
          </w:p>
        </w:tc>
        <w:tc>
          <w:tcPr>
            <w:tcW w:w="2863" w:type="dxa"/>
            <w:vAlign w:val="center"/>
          </w:tcPr>
          <w:p w:rsidR="00B604B1" w:rsidRDefault="00D975A2" w:rsidP="006F46D9">
            <w:pPr>
              <w:pStyle w:val="Doc-corpsdetexte"/>
              <w:spacing w:after="0"/>
              <w:ind w:firstLine="0"/>
            </w:pPr>
            <w:r>
              <w:t>3,5</w:t>
            </w:r>
          </w:p>
        </w:tc>
        <w:tc>
          <w:tcPr>
            <w:tcW w:w="3006" w:type="dxa"/>
            <w:vAlign w:val="center"/>
          </w:tcPr>
          <w:p w:rsidR="00B604B1" w:rsidRDefault="00D975A2" w:rsidP="006F46D9">
            <w:pPr>
              <w:pStyle w:val="Doc-corpsdetexte"/>
              <w:spacing w:after="0"/>
              <w:ind w:firstLine="0"/>
            </w:pPr>
            <w:r>
              <w:t>280</w:t>
            </w:r>
          </w:p>
        </w:tc>
      </w:tr>
    </w:tbl>
    <w:p w:rsidR="00B604B1" w:rsidRPr="00C0396D" w:rsidRDefault="00C0396D" w:rsidP="00C0396D">
      <w:pPr>
        <w:pStyle w:val="Doc-corpsdetexte"/>
        <w:tabs>
          <w:tab w:val="right" w:pos="14855"/>
        </w:tabs>
        <w:rPr>
          <w:i/>
        </w:rPr>
      </w:pPr>
      <w:r>
        <w:tab/>
      </w:r>
      <w:r w:rsidRPr="00C0396D">
        <w:rPr>
          <w:i/>
        </w:rPr>
        <w:t>S</w:t>
      </w:r>
      <w:r w:rsidR="00B152FE" w:rsidRPr="00C0396D">
        <w:rPr>
          <w:i/>
        </w:rPr>
        <w:t>ource : PNUD</w:t>
      </w:r>
    </w:p>
    <w:p w:rsidR="00E329FA" w:rsidRPr="005972AA" w:rsidRDefault="00C4162D" w:rsidP="005972AA">
      <w:pPr>
        <w:pStyle w:val="Doc-corpsdetexte"/>
      </w:pPr>
      <w:r>
        <w:t>Ces trois aspects forment les piliers du déve</w:t>
      </w:r>
      <w:r w:rsidR="00A17D40">
        <w:t>loppement durable. Cette notion est</w:t>
      </w:r>
      <w:r>
        <w:t xml:space="preserve"> définie </w:t>
      </w:r>
      <w:r w:rsidR="00A17D40">
        <w:t>par</w:t>
      </w:r>
      <w:r>
        <w:t xml:space="preserve"> </w:t>
      </w:r>
      <w:r w:rsidR="00D0533A">
        <w:t>l’Organisation des Nations Unies</w:t>
      </w:r>
      <w:r>
        <w:t xml:space="preserve"> comme « </w:t>
      </w:r>
      <w:r w:rsidRPr="00C4162D">
        <w:rPr>
          <w:iCs/>
        </w:rPr>
        <w:t>un mode de développement qui répond aux besoins des générations du présent sans compromettre la capacité des générations futures à répondre aux leurs.</w:t>
      </w:r>
      <w:r w:rsidR="00136853">
        <w:rPr>
          <w:iCs/>
        </w:rPr>
        <w:t> » L</w:t>
      </w:r>
      <w:r>
        <w:rPr>
          <w:iCs/>
        </w:rPr>
        <w:t>’utilisation de source d’énergies renouvelable</w:t>
      </w:r>
      <w:r w:rsidR="00763A1E">
        <w:rPr>
          <w:iCs/>
        </w:rPr>
        <w:t>s</w:t>
      </w:r>
      <w:r>
        <w:rPr>
          <w:iCs/>
        </w:rPr>
        <w:t xml:space="preserve"> et la diminution de l’émission de CO</w:t>
      </w:r>
      <w:r w:rsidRPr="00C4162D">
        <w:rPr>
          <w:iCs/>
          <w:vertAlign w:val="subscript"/>
        </w:rPr>
        <w:t>2</w:t>
      </w:r>
      <w:r>
        <w:rPr>
          <w:iCs/>
        </w:rPr>
        <w:t xml:space="preserve"> s’inscrivent dans cette démarche.</w:t>
      </w:r>
    </w:p>
    <w:p w:rsidR="00C024A7" w:rsidRDefault="00C024A7" w:rsidP="009D7296">
      <w:pPr>
        <w:pStyle w:val="Doc-titre1"/>
        <w:rPr>
          <w:color w:val="003399"/>
        </w:rPr>
        <w:sectPr w:rsidR="00C024A7" w:rsidSect="00CA5FCC">
          <w:headerReference w:type="default" r:id="rId20"/>
          <w:endnotePr>
            <w:numFmt w:val="decimal"/>
          </w:endnotePr>
          <w:pgSz w:w="16838" w:h="11906" w:orient="landscape" w:code="9"/>
          <w:pgMar w:top="1134" w:right="1134" w:bottom="567" w:left="1418" w:header="567" w:footer="0" w:gutter="0"/>
          <w:cols w:space="708"/>
          <w:docGrid w:linePitch="360"/>
        </w:sectPr>
      </w:pPr>
    </w:p>
    <w:p w:rsidR="00735D70" w:rsidRPr="0021135B" w:rsidRDefault="00735D70" w:rsidP="00735D70">
      <w:pPr>
        <w:pStyle w:val="Doc-titre2"/>
      </w:pPr>
      <w:bookmarkStart w:id="19" w:name="_Toc336593321"/>
      <w:r w:rsidRPr="0021135B">
        <w:lastRenderedPageBreak/>
        <w:t>Transformation de l’énergie</w:t>
      </w:r>
      <w:bookmarkEnd w:id="19"/>
    </w:p>
    <w:p w:rsidR="00735D70" w:rsidRDefault="00735D70" w:rsidP="00735D70">
      <w:pPr>
        <w:pStyle w:val="Doc-corpsdetexte"/>
        <w:rPr>
          <w:i/>
        </w:rPr>
      </w:pPr>
      <w:r>
        <w:t xml:space="preserve">Cette partie comporte des expériences simples et réalisables en classe. Le but est de faire réfléchir les élèves d’un point de vue « énergétique » : quelle est la source d’énergie, en quoi est-elle transformée,… ? L’idée est avant tout de provoquer un raisonnement scientifique avec émission d’une hypothèse et vérification par l’expérience, pour montrer que même les « évidences » doivent être vérifiées pour justement prendre valeur d’évidences. </w:t>
      </w:r>
      <w:r w:rsidRPr="009E5FBC">
        <w:rPr>
          <w:i/>
          <w:color w:val="003399"/>
        </w:rPr>
        <w:t>Vous trouverez de plus amples informations (photos, vidéos et expériences complémentaires) sur le site du CVC.</w:t>
      </w:r>
    </w:p>
    <w:p w:rsidR="00735D70" w:rsidRDefault="00735D70" w:rsidP="00735D70">
      <w:pPr>
        <w:pStyle w:val="Doc-titre3"/>
      </w:pPr>
      <w:bookmarkStart w:id="20" w:name="_Toc336593322"/>
      <w:r>
        <w:t>De l’énergie chimique à l’énergie thermique : la combustion d’une bougie</w:t>
      </w:r>
      <w:bookmarkEnd w:id="20"/>
    </w:p>
    <w:p w:rsidR="00735D70" w:rsidRDefault="00735D70" w:rsidP="00735D70">
      <w:pPr>
        <w:pStyle w:val="Doc-corpsdetexte"/>
        <w:spacing w:before="240"/>
        <w:ind w:firstLine="0"/>
      </w:pPr>
      <w:r w:rsidRPr="006E4A8B">
        <w:rPr>
          <w:b/>
        </w:rPr>
        <w:t>Matériel</w:t>
      </w:r>
      <w:r>
        <w:t> </w:t>
      </w:r>
      <w:r>
        <w:rPr>
          <w:b/>
        </w:rPr>
        <w:t xml:space="preserve">: </w:t>
      </w:r>
      <w:r w:rsidRPr="00531CF0">
        <w:t>u</w:t>
      </w:r>
      <w:r>
        <w:t>ne bougie et des allumettes / deux bocaux en verre de tailles différentes</w:t>
      </w:r>
    </w:p>
    <w:p w:rsidR="00735D70" w:rsidRDefault="00735D70" w:rsidP="00735D70">
      <w:pPr>
        <w:pStyle w:val="Doc-corpsdetexte"/>
        <w:ind w:firstLine="0"/>
        <w:rPr>
          <w:b/>
        </w:rPr>
      </w:pPr>
      <w:r w:rsidRPr="003B200F">
        <w:rPr>
          <w:b/>
        </w:rPr>
        <w:t>Questionnements</w:t>
      </w:r>
    </w:p>
    <w:p w:rsidR="00735D70" w:rsidRDefault="00735D70" w:rsidP="00735D70">
      <w:pPr>
        <w:pStyle w:val="Doc-corpsdetexte"/>
        <w:numPr>
          <w:ilvl w:val="0"/>
          <w:numId w:val="21"/>
        </w:numPr>
      </w:pPr>
      <w:r>
        <w:rPr>
          <w:noProof/>
          <w:lang w:eastAsia="fr-FR" w:bidi="ar-SA"/>
        </w:rPr>
        <w:drawing>
          <wp:anchor distT="0" distB="0" distL="114300" distR="114300" simplePos="0" relativeHeight="252293120" behindDoc="0" locked="0" layoutInCell="1" allowOverlap="1">
            <wp:simplePos x="0" y="0"/>
            <wp:positionH relativeFrom="page">
              <wp:posOffset>8553450</wp:posOffset>
            </wp:positionH>
            <wp:positionV relativeFrom="paragraph">
              <wp:posOffset>257810</wp:posOffset>
            </wp:positionV>
            <wp:extent cx="1801495" cy="1800225"/>
            <wp:effectExtent l="19050" t="0" r="8255" b="0"/>
            <wp:wrapSquare wrapText="bothSides"/>
            <wp:docPr id="3" name="Image 9" descr="Flamme-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01-300.jpg"/>
                    <pic:cNvPicPr/>
                  </pic:nvPicPr>
                  <pic:blipFill>
                    <a:blip r:embed="rId21"/>
                    <a:stretch>
                      <a:fillRect/>
                    </a:stretch>
                  </pic:blipFill>
                  <pic:spPr>
                    <a:xfrm>
                      <a:off x="0" y="0"/>
                      <a:ext cx="1801495" cy="1800225"/>
                    </a:xfrm>
                    <a:prstGeom prst="rect">
                      <a:avLst/>
                    </a:prstGeom>
                  </pic:spPr>
                </pic:pic>
              </a:graphicData>
            </a:graphic>
          </wp:anchor>
        </w:drawing>
      </w:r>
      <w:r>
        <w:rPr>
          <w:noProof/>
          <w:lang w:eastAsia="fr-FR" w:bidi="ar-SA"/>
        </w:rPr>
        <w:drawing>
          <wp:anchor distT="0" distB="0" distL="114300" distR="114300" simplePos="0" relativeHeight="252292096" behindDoc="0" locked="0" layoutInCell="1" allowOverlap="1">
            <wp:simplePos x="0" y="0"/>
            <wp:positionH relativeFrom="margin">
              <wp:posOffset>7653020</wp:posOffset>
            </wp:positionH>
            <wp:positionV relativeFrom="paragraph">
              <wp:posOffset>2134235</wp:posOffset>
            </wp:positionV>
            <wp:extent cx="1801495" cy="1800225"/>
            <wp:effectExtent l="19050" t="0" r="8255" b="0"/>
            <wp:wrapSquare wrapText="bothSides"/>
            <wp:docPr id="2" name="Image 11" descr="H2O-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O-02-300.jpg"/>
                    <pic:cNvPicPr/>
                  </pic:nvPicPr>
                  <pic:blipFill>
                    <a:blip r:embed="rId22"/>
                    <a:stretch>
                      <a:fillRect/>
                    </a:stretch>
                  </pic:blipFill>
                  <pic:spPr>
                    <a:xfrm>
                      <a:off x="0" y="0"/>
                      <a:ext cx="1801495" cy="1800225"/>
                    </a:xfrm>
                    <a:prstGeom prst="rect">
                      <a:avLst/>
                    </a:prstGeom>
                  </pic:spPr>
                </pic:pic>
              </a:graphicData>
            </a:graphic>
          </wp:anchor>
        </w:drawing>
      </w:r>
      <w:r>
        <w:t>De quoi la bougie a besoin pour brûler ?</w:t>
      </w:r>
    </w:p>
    <w:p w:rsidR="00735D70" w:rsidRDefault="00735D70" w:rsidP="00735D70">
      <w:pPr>
        <w:pStyle w:val="Doc-corpsdetexte"/>
        <w:numPr>
          <w:ilvl w:val="1"/>
          <w:numId w:val="21"/>
        </w:numPr>
      </w:pPr>
      <w:r>
        <w:t xml:space="preserve">3 éléments nécessaires à la combustion : un combustible (la cire), un comburant (le dioxygène), un apport d’énergie pour passer la barrière énergétique (la </w:t>
      </w:r>
      <w:r w:rsidRPr="00651F55">
        <w:rPr>
          <w:u w:val="single"/>
        </w:rPr>
        <w:t>chaleur</w:t>
      </w:r>
      <w:r>
        <w:t xml:space="preserve"> de l’allumette). Sans oxygène, la bougie s’éteint. Hypothèse : le temps de combustion est proportionnel au volume d’oxygène. Vérifier en couvrant la bougie avec deux bocaux de contenance différente. </w:t>
      </w:r>
    </w:p>
    <w:p w:rsidR="00735D70" w:rsidRDefault="00735D70" w:rsidP="00735D70">
      <w:pPr>
        <w:pStyle w:val="Doc-corpsdetexte"/>
        <w:numPr>
          <w:ilvl w:val="1"/>
          <w:numId w:val="21"/>
        </w:numPr>
      </w:pPr>
      <w:r>
        <w:t xml:space="preserve">Observer la flamme. La mèche brûle et produit la chaleur nécessaire pour faire fondre la cire. La cire fondue monte dans la mèche par capillarité, donc la combustion se fait en haut de la mèche, permettant à l’air de circuler sous la flamme. Dès que la cire atteint le haut de la mèche, c’est la cire qui brûle, et non plus la mèche. Sans circulation de l’air, la réaction s’arrête, faute de comburant. </w:t>
      </w:r>
      <w:r w:rsidRPr="00651F55">
        <w:rPr>
          <w:i/>
          <w:color w:val="003399"/>
        </w:rPr>
        <w:t>Voir sur le site : une bougie en apesanteur.</w:t>
      </w:r>
    </w:p>
    <w:p w:rsidR="00735D70" w:rsidRDefault="00735D70" w:rsidP="00735D70">
      <w:pPr>
        <w:pStyle w:val="Doc-corpsdetexte"/>
        <w:numPr>
          <w:ilvl w:val="0"/>
          <w:numId w:val="21"/>
        </w:numPr>
      </w:pPr>
      <w:r>
        <w:t>Que produit la réaction ? Comment mettre les produits en évidence ?</w:t>
      </w:r>
    </w:p>
    <w:p w:rsidR="00735D70" w:rsidRDefault="00735D70" w:rsidP="00735D70">
      <w:pPr>
        <w:pStyle w:val="Doc-corpsdetexte"/>
        <w:numPr>
          <w:ilvl w:val="1"/>
          <w:numId w:val="21"/>
        </w:numPr>
      </w:pPr>
      <w:r>
        <w:t>La cire (paraffine solide) est un hydrocarbure linéaire de formule C</w:t>
      </w:r>
      <w:r w:rsidRPr="00651F55">
        <w:rPr>
          <w:vertAlign w:val="subscript"/>
        </w:rPr>
        <w:t>n</w:t>
      </w:r>
      <w:r>
        <w:t>H</w:t>
      </w:r>
      <w:r w:rsidRPr="00651F55">
        <w:rPr>
          <w:vertAlign w:val="subscript"/>
        </w:rPr>
        <w:t>2n+2</w:t>
      </w:r>
      <w:r>
        <w:t>, avec n = 20 à 40.</w:t>
      </w:r>
    </w:p>
    <w:p w:rsidR="00735D70" w:rsidRPr="00246D4A" w:rsidRDefault="00735D70" w:rsidP="00735D70">
      <w:pPr>
        <w:pStyle w:val="Doc-corpsdetexte"/>
        <w:ind w:left="680" w:firstLine="0"/>
      </w:pPr>
      <w:r w:rsidRPr="00246D4A">
        <w:t>2C</w:t>
      </w:r>
      <w:r w:rsidRPr="00246D4A">
        <w:rPr>
          <w:vertAlign w:val="subscript"/>
        </w:rPr>
        <w:t>n</w:t>
      </w:r>
      <w:r w:rsidRPr="00246D4A">
        <w:t>H</w:t>
      </w:r>
      <w:r w:rsidRPr="00246D4A">
        <w:rPr>
          <w:vertAlign w:val="subscript"/>
        </w:rPr>
        <w:t>2n+2</w:t>
      </w:r>
      <w:r w:rsidRPr="00246D4A">
        <w:t xml:space="preserve"> + 3n+1 O</w:t>
      </w:r>
      <w:r w:rsidRPr="00246D4A">
        <w:rPr>
          <w:vertAlign w:val="subscript"/>
        </w:rPr>
        <w:t>2</w:t>
      </w:r>
      <w:r w:rsidRPr="00246D4A">
        <w:tab/>
        <w:t>2</w:t>
      </w:r>
      <w:r w:rsidRPr="00246D4A">
        <w:rPr>
          <w:vertAlign w:val="subscript"/>
        </w:rPr>
        <w:t>n</w:t>
      </w:r>
      <w:r w:rsidRPr="00246D4A">
        <w:t>CO</w:t>
      </w:r>
      <w:r w:rsidRPr="00246D4A">
        <w:rPr>
          <w:vertAlign w:val="subscript"/>
        </w:rPr>
        <w:t>2</w:t>
      </w:r>
      <w:r w:rsidRPr="00246D4A">
        <w:t>+2 H</w:t>
      </w:r>
      <w:r w:rsidRPr="00246D4A">
        <w:rPr>
          <w:vertAlign w:val="subscript"/>
        </w:rPr>
        <w:t>2</w:t>
      </w:r>
      <w:r w:rsidRPr="00246D4A">
        <w:t>O</w:t>
      </w:r>
    </w:p>
    <w:p w:rsidR="00735D70" w:rsidRDefault="00735D70" w:rsidP="00735D70">
      <w:pPr>
        <w:pStyle w:val="Doc-corpsdetexte"/>
        <w:ind w:left="340" w:firstLine="0"/>
        <w:rPr>
          <w:i/>
          <w:color w:val="003399"/>
        </w:rPr>
      </w:pPr>
      <w:r w:rsidRPr="000C0CDE">
        <w:rPr>
          <w:i/>
          <w:color w:val="003399"/>
        </w:rPr>
        <w:t>A noter : aujourd’hui, les bougies sont composées de cire et de stéarine. Voir le site.</w:t>
      </w:r>
      <w:r w:rsidRPr="00F13DBC">
        <w:rPr>
          <w:noProof/>
          <w:lang w:eastAsia="fr-FR" w:bidi="ar-SA"/>
        </w:rPr>
        <w:t xml:space="preserve"> </w:t>
      </w:r>
    </w:p>
    <w:p w:rsidR="00735D70" w:rsidRPr="00651F55" w:rsidRDefault="00735D70" w:rsidP="00735D70">
      <w:pPr>
        <w:pStyle w:val="Doc-corpsdetexte"/>
        <w:numPr>
          <w:ilvl w:val="1"/>
          <w:numId w:val="22"/>
        </w:numPr>
        <w:rPr>
          <w:i/>
          <w:color w:val="003399"/>
        </w:rPr>
      </w:pPr>
      <w:r w:rsidRPr="008C45AE">
        <w:t xml:space="preserve">En tenant une paroi en verre proche de la flamme, on observe la formation de gouttes d’eau par condensation. </w:t>
      </w:r>
      <w:r>
        <w:t>Le CO2 peut être mis en évidence en utilisant de l’eau de chaux, qui se trouble en sa présence.</w:t>
      </w:r>
    </w:p>
    <w:p w:rsidR="00735D70" w:rsidRDefault="00735D70" w:rsidP="00735D70">
      <w:pPr>
        <w:widowControl/>
        <w:suppressAutoHyphens w:val="0"/>
        <w:rPr>
          <w:rFonts w:asciiTheme="minorHAnsi" w:hAnsiTheme="minorHAnsi" w:cs="Optima"/>
        </w:rPr>
      </w:pPr>
      <w:r>
        <w:br w:type="page"/>
      </w:r>
    </w:p>
    <w:p w:rsidR="00735D70" w:rsidRDefault="00735D70" w:rsidP="00735D70">
      <w:pPr>
        <w:pStyle w:val="Doc-titre3"/>
      </w:pPr>
      <w:bookmarkStart w:id="21" w:name="_Toc336593323"/>
      <w:r w:rsidRPr="00C05F33">
        <w:lastRenderedPageBreak/>
        <w:t>De l’énergie chimique à l’énergie électrique : la pile Volta</w:t>
      </w:r>
      <w:bookmarkEnd w:id="21"/>
    </w:p>
    <w:p w:rsidR="00735D70" w:rsidRPr="00155456" w:rsidRDefault="00735D70" w:rsidP="00735D70">
      <w:pPr>
        <w:pStyle w:val="Doc-corpsdetexte"/>
        <w:spacing w:before="240"/>
        <w:ind w:firstLine="0"/>
      </w:pPr>
      <w:r w:rsidRPr="006E4A8B">
        <w:rPr>
          <w:b/>
        </w:rPr>
        <w:t>Matériel</w:t>
      </w:r>
      <w:r>
        <w:t> </w:t>
      </w:r>
      <w:r>
        <w:rPr>
          <w:b/>
        </w:rPr>
        <w:t>:</w:t>
      </w:r>
      <w:r w:rsidRPr="002A6C5F">
        <w:t xml:space="preserve"> des rondelles d’acier / </w:t>
      </w:r>
      <w:r>
        <w:t>des sections de tube de cuivre / du tissu (en carré d’environ 5x5 cm² )/ du sel / de l’eau / un multimètre / une DEL</w:t>
      </w:r>
    </w:p>
    <w:p w:rsidR="00735D70" w:rsidRDefault="00735D70" w:rsidP="00735D70">
      <w:pPr>
        <w:pStyle w:val="Doc-corpsdetexte"/>
        <w:ind w:firstLine="0"/>
        <w:rPr>
          <w:b/>
        </w:rPr>
      </w:pPr>
      <w:r w:rsidRPr="003B200F">
        <w:rPr>
          <w:b/>
        </w:rPr>
        <w:t>Questionnements</w:t>
      </w:r>
    </w:p>
    <w:p w:rsidR="00735D70" w:rsidRDefault="00735D70" w:rsidP="00735D70">
      <w:pPr>
        <w:pStyle w:val="Doc-corpsdetexte"/>
        <w:numPr>
          <w:ilvl w:val="0"/>
          <w:numId w:val="22"/>
        </w:numPr>
      </w:pPr>
      <w:r>
        <w:t>Peut-on utiliser n’importe quels métaux pour réaliser une pile ?</w:t>
      </w:r>
    </w:p>
    <w:p w:rsidR="00735D70" w:rsidRDefault="00735D70" w:rsidP="00735D70">
      <w:pPr>
        <w:pStyle w:val="Doc-corpsdetexte"/>
        <w:numPr>
          <w:ilvl w:val="1"/>
          <w:numId w:val="22"/>
        </w:numPr>
      </w:pPr>
      <w:r>
        <w:t>Il est nécessaire de choisir deux métaux dont la différence de conductivité électrique est importante pour que le courant passe. Ici, le cuivre correspond à l’électrode positive, l’acier à l’électrode négative de la pile.</w:t>
      </w:r>
    </w:p>
    <w:p w:rsidR="00735D70" w:rsidRDefault="00735D70" w:rsidP="00735D70">
      <w:pPr>
        <w:pStyle w:val="Doc-corpsdetexte"/>
        <w:numPr>
          <w:ilvl w:val="0"/>
          <w:numId w:val="20"/>
        </w:numPr>
      </w:pPr>
      <w:r>
        <w:t>Quel est le rôle de l’électrolyte?</w:t>
      </w:r>
    </w:p>
    <w:p w:rsidR="00735D70" w:rsidRDefault="00735D70" w:rsidP="00735D70">
      <w:pPr>
        <w:pStyle w:val="Doc-corpsdetexte"/>
        <w:numPr>
          <w:ilvl w:val="1"/>
          <w:numId w:val="20"/>
        </w:numPr>
      </w:pPr>
      <w:r>
        <w:t>L’électrolyte contient des ions mobiles. Il permet donc la circulation du courant par réaction d’oxydoréduction. Eau salée et solution acide (jus de citron par exemple) sont de bons électrolytes liquides.</w:t>
      </w:r>
    </w:p>
    <w:p w:rsidR="00735D70" w:rsidRDefault="00A454F2" w:rsidP="00735D70">
      <w:pPr>
        <w:pStyle w:val="Doc-corpsdetexte"/>
        <w:numPr>
          <w:ilvl w:val="0"/>
          <w:numId w:val="20"/>
        </w:numPr>
        <w:rPr>
          <w:i/>
        </w:rPr>
      </w:pPr>
      <w:r w:rsidRPr="00A454F2">
        <w:rPr>
          <w:noProof/>
          <w:lang w:eastAsia="en-US"/>
        </w:rPr>
        <w:pict>
          <v:shape id="_x0000_s1656" type="#_x0000_t202" style="position:absolute;left:0;text-align:left;margin-left:455.85pt;margin-top:51.15pt;width:284.85pt;height:21.75pt;z-index:252297216;mso-width-percent:400;mso-height-percent:200;mso-width-percent:400;mso-height-percent:200;mso-width-relative:margin;mso-height-relative:margin">
            <v:textbox style="mso-next-textbox:#_x0000_s1656;mso-fit-shape-to-text:t">
              <w:txbxContent>
                <w:p w:rsidR="00735D70" w:rsidRDefault="00735D70" w:rsidP="00735D70">
                  <w:r>
                    <w:t>SCHEMA PILE</w:t>
                  </w:r>
                </w:p>
              </w:txbxContent>
            </v:textbox>
          </v:shape>
        </w:pict>
      </w:r>
      <w:r w:rsidR="00735D70">
        <w:t xml:space="preserve">Originellement, Volta a utilisé du zinc à la place de l’acier (difficile à trouver non traité dans le commerce). Le zinc est consommé au fur et à mesure. Le cuivre crée la différence de potentiel électrique mais reste inerte dans les réactions chimiques ayant lieu. </w:t>
      </w:r>
      <w:r w:rsidR="00735D70" w:rsidRPr="00B32CB8">
        <w:rPr>
          <w:i/>
          <w:color w:val="003399"/>
        </w:rPr>
        <w:t xml:space="preserve">Pour des informations sur l’expérience originelle de Alessandro Volta, </w:t>
      </w:r>
      <w:r w:rsidR="00735D70" w:rsidRPr="00C17259">
        <w:rPr>
          <w:i/>
          <w:color w:val="003399"/>
        </w:rPr>
        <w:t>voir</w:t>
      </w:r>
      <w:r w:rsidR="00735D70" w:rsidRPr="00B32CB8">
        <w:rPr>
          <w:i/>
          <w:color w:val="003399"/>
        </w:rPr>
        <w:t xml:space="preserve"> le site.</w:t>
      </w:r>
    </w:p>
    <w:p w:rsidR="00735D70" w:rsidRDefault="00A454F2" w:rsidP="00735D70">
      <w:pPr>
        <w:pStyle w:val="Doc-corpsdetexte"/>
        <w:tabs>
          <w:tab w:val="left" w:pos="1134"/>
        </w:tabs>
      </w:pPr>
      <w:r>
        <w:rPr>
          <w:noProof/>
          <w:lang w:eastAsia="fr-FR" w:bidi="ar-SA"/>
        </w:rPr>
        <w:pict>
          <v:shape id="_x0000_s1653" type="#_x0000_t32" style="position:absolute;left:0;text-align:left;margin-left:34.05pt;margin-top:7.6pt;width:18pt;height:0;z-index:252294144" o:connectortype="straight">
            <v:stroke endarrow="block"/>
          </v:shape>
        </w:pict>
      </w:r>
      <w:r w:rsidR="00735D70">
        <w:t>Zn</w:t>
      </w:r>
      <w:r w:rsidR="00735D70">
        <w:tab/>
        <w:t>Zn</w:t>
      </w:r>
      <w:r w:rsidR="00735D70" w:rsidRPr="0026516F">
        <w:rPr>
          <w:vertAlign w:val="superscript"/>
        </w:rPr>
        <w:t>2+</w:t>
      </w:r>
      <w:r w:rsidR="00735D70">
        <w:t>+ 2</w:t>
      </w:r>
      <w:r w:rsidR="00735D70" w:rsidRPr="00A26132">
        <w:t>e</w:t>
      </w:r>
      <w:r w:rsidR="00735D70" w:rsidRPr="0026516F">
        <w:rPr>
          <w:vertAlign w:val="superscript"/>
        </w:rPr>
        <w:t>-</w:t>
      </w:r>
      <w:r w:rsidR="00735D70">
        <w:t xml:space="preserve"> (oxydation)</w:t>
      </w:r>
    </w:p>
    <w:p w:rsidR="00735D70" w:rsidRDefault="00A454F2" w:rsidP="00735D70">
      <w:pPr>
        <w:pStyle w:val="Doc-corpsdetexte"/>
        <w:tabs>
          <w:tab w:val="left" w:pos="1843"/>
        </w:tabs>
      </w:pPr>
      <w:r>
        <w:rPr>
          <w:noProof/>
          <w:lang w:eastAsia="fr-FR" w:bidi="ar-SA"/>
        </w:rPr>
        <w:pict>
          <v:shape id="_x0000_s1654" type="#_x0000_t32" style="position:absolute;left:0;text-align:left;margin-left:70.8pt;margin-top:8.2pt;width:18pt;height:0;z-index:252295168" o:connectortype="straight">
            <v:stroke endarrow="block"/>
          </v:shape>
        </w:pict>
      </w:r>
      <w:r w:rsidR="00735D70">
        <w:t>2H</w:t>
      </w:r>
      <w:r w:rsidR="00735D70" w:rsidRPr="0026516F">
        <w:rPr>
          <w:vertAlign w:val="subscript"/>
        </w:rPr>
        <w:t>2</w:t>
      </w:r>
      <w:r w:rsidR="00735D70">
        <w:t>O + 2e</w:t>
      </w:r>
      <w:r w:rsidR="00735D70" w:rsidRPr="0026516F">
        <w:rPr>
          <w:vertAlign w:val="superscript"/>
        </w:rPr>
        <w:t>-</w:t>
      </w:r>
      <w:r w:rsidR="00735D70">
        <w:tab/>
        <w:t>2OH</w:t>
      </w:r>
      <w:r w:rsidR="00735D70" w:rsidRPr="0026516F">
        <w:rPr>
          <w:vertAlign w:val="superscript"/>
        </w:rPr>
        <w:t>-</w:t>
      </w:r>
      <w:r w:rsidR="00735D70">
        <w:t xml:space="preserve"> + H</w:t>
      </w:r>
      <w:r w:rsidR="00735D70" w:rsidRPr="0026516F">
        <w:rPr>
          <w:vertAlign w:val="subscript"/>
        </w:rPr>
        <w:t>2</w:t>
      </w:r>
      <w:r w:rsidR="00735D70">
        <w:t xml:space="preserve"> (réduction des ions H</w:t>
      </w:r>
      <w:r w:rsidR="00735D70">
        <w:rPr>
          <w:vertAlign w:val="superscript"/>
        </w:rPr>
        <w:t>+</w:t>
      </w:r>
      <w:r w:rsidR="00735D70">
        <w:t>)</w:t>
      </w:r>
    </w:p>
    <w:p w:rsidR="00735D70" w:rsidRDefault="00A454F2" w:rsidP="00735D70">
      <w:pPr>
        <w:pStyle w:val="Doc-corpsdetexte"/>
        <w:tabs>
          <w:tab w:val="left" w:pos="1843"/>
        </w:tabs>
      </w:pPr>
      <w:r>
        <w:rPr>
          <w:noProof/>
          <w:lang w:eastAsia="fr-FR" w:bidi="ar-SA"/>
        </w:rPr>
        <w:pict>
          <v:shape id="_x0000_s1655" type="#_x0000_t32" style="position:absolute;left:0;text-align:left;margin-left:70.85pt;margin-top:7.85pt;width:18pt;height:0;z-index:252296192" o:connectortype="straight">
            <v:stroke endarrow="block"/>
          </v:shape>
        </w:pict>
      </w:r>
      <w:r w:rsidR="00735D70">
        <w:t>Zn</w:t>
      </w:r>
      <w:r w:rsidR="00735D70" w:rsidRPr="0026516F">
        <w:rPr>
          <w:vertAlign w:val="superscript"/>
        </w:rPr>
        <w:t>2+</w:t>
      </w:r>
      <w:r w:rsidR="00735D70">
        <w:t xml:space="preserve"> + OH</w:t>
      </w:r>
      <w:r w:rsidR="00735D70" w:rsidRPr="0026516F">
        <w:rPr>
          <w:vertAlign w:val="superscript"/>
        </w:rPr>
        <w:t>-</w:t>
      </w:r>
      <w:r w:rsidR="00735D70">
        <w:tab/>
        <w:t>Zn(OH)</w:t>
      </w:r>
      <w:r w:rsidR="00735D70" w:rsidRPr="0026516F">
        <w:rPr>
          <w:vertAlign w:val="subscript"/>
        </w:rPr>
        <w:t>2</w:t>
      </w:r>
      <w:r w:rsidR="00735D70">
        <w:t xml:space="preserve"> (précipité)</w:t>
      </w:r>
    </w:p>
    <w:p w:rsidR="00735D70" w:rsidRDefault="00735D70" w:rsidP="00735D70">
      <w:pPr>
        <w:pStyle w:val="Doc-corpsdetexte"/>
        <w:ind w:firstLine="0"/>
        <w:rPr>
          <w:b/>
        </w:rPr>
      </w:pPr>
      <w:r>
        <w:rPr>
          <w:b/>
        </w:rPr>
        <w:t>Réalisation</w:t>
      </w:r>
    </w:p>
    <w:p w:rsidR="00735D70" w:rsidRDefault="00735D70" w:rsidP="00735D70">
      <w:pPr>
        <w:pStyle w:val="Doc-corpsdetexte"/>
        <w:numPr>
          <w:ilvl w:val="0"/>
          <w:numId w:val="23"/>
        </w:numPr>
      </w:pPr>
      <w:r>
        <w:rPr>
          <w:noProof/>
          <w:lang w:eastAsia="fr-FR" w:bidi="ar-SA"/>
        </w:rPr>
        <w:drawing>
          <wp:anchor distT="0" distB="0" distL="114300" distR="114300" simplePos="0" relativeHeight="252298240" behindDoc="0" locked="0" layoutInCell="1" allowOverlap="1">
            <wp:simplePos x="0" y="0"/>
            <wp:positionH relativeFrom="column">
              <wp:posOffset>7652385</wp:posOffset>
            </wp:positionH>
            <wp:positionV relativeFrom="paragraph">
              <wp:posOffset>48895</wp:posOffset>
            </wp:positionV>
            <wp:extent cx="1801495" cy="1800225"/>
            <wp:effectExtent l="19050" t="0" r="8255" b="0"/>
            <wp:wrapSquare wrapText="bothSides"/>
            <wp:docPr id="4" name="Image 12" descr="Sel-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04-300.jpg"/>
                    <pic:cNvPicPr/>
                  </pic:nvPicPr>
                  <pic:blipFill>
                    <a:blip r:embed="rId23"/>
                    <a:stretch>
                      <a:fillRect/>
                    </a:stretch>
                  </pic:blipFill>
                  <pic:spPr>
                    <a:xfrm>
                      <a:off x="0" y="0"/>
                      <a:ext cx="1801495" cy="1800225"/>
                    </a:xfrm>
                    <a:prstGeom prst="rect">
                      <a:avLst/>
                    </a:prstGeom>
                  </pic:spPr>
                </pic:pic>
              </a:graphicData>
            </a:graphic>
          </wp:anchor>
        </w:drawing>
      </w:r>
      <w:r>
        <w:t>Dissoudre le sel dans l’eau à saturation (solubilité du NaCl à 20°C = 357 g/l d’eau). Bien imprégner les carrés de tissu de cette saumure (sauf un).</w:t>
      </w:r>
    </w:p>
    <w:p w:rsidR="00735D70" w:rsidRDefault="00735D70" w:rsidP="00735D70">
      <w:pPr>
        <w:pStyle w:val="Doc-corpsdetexte"/>
        <w:numPr>
          <w:ilvl w:val="0"/>
          <w:numId w:val="23"/>
        </w:numPr>
      </w:pPr>
      <w:r>
        <w:t>Empiler une rondelle d’acier, un carré de tissu, une section de cuivre. Cet assemblage forme un élément de la pile.</w:t>
      </w:r>
    </w:p>
    <w:p w:rsidR="00735D70" w:rsidRDefault="00735D70" w:rsidP="00735D70">
      <w:pPr>
        <w:pStyle w:val="Doc-corpsdetexte"/>
        <w:numPr>
          <w:ilvl w:val="0"/>
          <w:numId w:val="23"/>
        </w:numPr>
      </w:pPr>
      <w:r>
        <w:t>Mesurer la tension aux bornes (0,74 V). Empiler plusieurs éléments et vérifier que les tensions s’additionnent. Vérifier qu’avec un tissu sec, aucun courant ne se crée.</w:t>
      </w:r>
    </w:p>
    <w:p w:rsidR="00735D70" w:rsidRDefault="00735D70" w:rsidP="00735D70">
      <w:pPr>
        <w:pStyle w:val="Doc-corpsdetexte"/>
        <w:numPr>
          <w:ilvl w:val="0"/>
          <w:numId w:val="23"/>
        </w:numPr>
      </w:pPr>
      <w:r>
        <w:t>Brancher la DEL sur le circuit. Déterminer d’avance le nombre d’éléments nécessaires en fonction de la tension nécessaire (dépend des caractéristiques de la DEL). Mesurer l’intensité du circuit. Cette intensité est insuffisante pour allumer une ampoule à incandescence.</w:t>
      </w:r>
    </w:p>
    <w:p w:rsidR="00735D70" w:rsidRDefault="00735D70" w:rsidP="00735D70">
      <w:pPr>
        <w:pStyle w:val="Doc-titre3"/>
      </w:pPr>
      <w:r>
        <w:lastRenderedPageBreak/>
        <w:t xml:space="preserve"> </w:t>
      </w:r>
      <w:bookmarkStart w:id="22" w:name="_Toc336593324"/>
      <w:r w:rsidRPr="0078394D">
        <w:t>De l’énergie électrique à l’énergie thermique : l’effet Joule</w:t>
      </w:r>
      <w:bookmarkEnd w:id="22"/>
    </w:p>
    <w:p w:rsidR="00735D70" w:rsidRPr="00155456" w:rsidRDefault="00735D70" w:rsidP="00735D70">
      <w:pPr>
        <w:pStyle w:val="Doc-corpsdetexte"/>
        <w:spacing w:before="240"/>
        <w:ind w:firstLine="0"/>
      </w:pPr>
      <w:r w:rsidRPr="006E4A8B">
        <w:rPr>
          <w:b/>
        </w:rPr>
        <w:t>Matériel</w:t>
      </w:r>
      <w:r>
        <w:t> </w:t>
      </w:r>
      <w:r>
        <w:rPr>
          <w:b/>
        </w:rPr>
        <w:t>:</w:t>
      </w:r>
      <w:r w:rsidRPr="002A6C5F">
        <w:t xml:space="preserve"> des </w:t>
      </w:r>
      <w:r w:rsidRPr="00A96CCA">
        <w:t>mines de crayon 2</w:t>
      </w:r>
      <w:r>
        <w:t> </w:t>
      </w:r>
      <w:r w:rsidRPr="00A96CCA">
        <w:t xml:space="preserve">mm (et </w:t>
      </w:r>
      <w:r>
        <w:t>0,7 </w:t>
      </w:r>
      <w:r w:rsidRPr="00A96CCA">
        <w:t>mm) /</w:t>
      </w:r>
      <w:r>
        <w:t xml:space="preserve"> deux piles 9 V / du fil électrique / une pipette d’eau (/ un générateur)</w:t>
      </w:r>
    </w:p>
    <w:p w:rsidR="00735D70" w:rsidRDefault="00735D70" w:rsidP="00735D70">
      <w:pPr>
        <w:pStyle w:val="Doc-corpsdetexte"/>
        <w:ind w:firstLine="0"/>
        <w:rPr>
          <w:b/>
        </w:rPr>
      </w:pPr>
      <w:r w:rsidRPr="003B200F">
        <w:rPr>
          <w:b/>
        </w:rPr>
        <w:t>Questionnements</w:t>
      </w:r>
    </w:p>
    <w:p w:rsidR="00735D70" w:rsidRPr="005C5F45" w:rsidRDefault="00735D70" w:rsidP="00735D70">
      <w:pPr>
        <w:pStyle w:val="Doc-corpsdetexte"/>
        <w:numPr>
          <w:ilvl w:val="0"/>
          <w:numId w:val="25"/>
        </w:numPr>
      </w:pPr>
      <w:r>
        <w:t>Pourquoi dit-on d’un circuit électrique qu’il « chauffe » ?</w:t>
      </w:r>
    </w:p>
    <w:p w:rsidR="00735D70" w:rsidRDefault="00735D70" w:rsidP="00735D70">
      <w:pPr>
        <w:pStyle w:val="Doc-corpsdetexte"/>
        <w:numPr>
          <w:ilvl w:val="1"/>
          <w:numId w:val="25"/>
        </w:numPr>
      </w:pPr>
      <w:r w:rsidRPr="005C5F45">
        <w:t>T</w:t>
      </w:r>
      <w:r>
        <w:t>outes formes d’énergies se transforment, au moins en partie, en énergie thermique. Cet effet Joule est responsable des pertes énergétiques observées dans chaque circuit. Les chercheurs tentent, dans divers domaines, de récupérer la chaleur dissipée afin de limiter ces pertes : les matériaux thermoélectriques, par exemple, sont à l’étude pour transformer la chaleur en électricité (transformation de faible rendement). Ils seraient utilisés pour récupérer la chaleur perdue des pots d’échappement ou des cheminées d’incinérateurs.</w:t>
      </w:r>
    </w:p>
    <w:p w:rsidR="00735D70" w:rsidRDefault="00735D70" w:rsidP="00735D70">
      <w:pPr>
        <w:pStyle w:val="Doc-corpsdetexte"/>
        <w:numPr>
          <w:ilvl w:val="0"/>
          <w:numId w:val="25"/>
        </w:numPr>
      </w:pPr>
      <w:r>
        <w:t>Seuls les métaux sont conducteurs ?</w:t>
      </w:r>
    </w:p>
    <w:p w:rsidR="00735D70" w:rsidRDefault="00735D70" w:rsidP="00735D70">
      <w:pPr>
        <w:pStyle w:val="Doc-corpsdetexte"/>
        <w:numPr>
          <w:ilvl w:val="0"/>
          <w:numId w:val="25"/>
        </w:numPr>
      </w:pPr>
      <w:r>
        <w:t>Quelle propriété est à la base de l’effet Joule ?</w:t>
      </w:r>
    </w:p>
    <w:p w:rsidR="00735D70" w:rsidRDefault="00735D70" w:rsidP="00735D70">
      <w:pPr>
        <w:pStyle w:val="Doc-corpsdetexte"/>
        <w:numPr>
          <w:ilvl w:val="1"/>
          <w:numId w:val="25"/>
        </w:numPr>
      </w:pPr>
      <w:r>
        <w:t>Il s’agit de la résistance, capacité des matériaux conducteurs à ralentir le passage du courant électrique.</w:t>
      </w:r>
    </w:p>
    <w:p w:rsidR="00735D70" w:rsidRDefault="00735D70" w:rsidP="00735D70">
      <w:pPr>
        <w:pStyle w:val="Doc-corpsdetexte"/>
        <w:ind w:firstLine="0"/>
        <w:rPr>
          <w:b/>
        </w:rPr>
      </w:pPr>
      <w:r>
        <w:rPr>
          <w:b/>
        </w:rPr>
        <w:t>Réalisation</w:t>
      </w:r>
    </w:p>
    <w:p w:rsidR="00735D70" w:rsidRDefault="00735D70" w:rsidP="00735D70">
      <w:pPr>
        <w:pStyle w:val="Doc-corpsdetexte"/>
        <w:numPr>
          <w:ilvl w:val="0"/>
          <w:numId w:val="24"/>
        </w:numPr>
      </w:pPr>
      <w:r>
        <w:t>Couper deux fois 10 cm de fil électrique. Dénuder les extrémités. Connecter chaque fil à un bout de la mine de 2mm. Raccorder un fil à la borne + d’une pile, et l’autre à la borne – de l’autre pile. Avec un autre morceau de fil électrique (3-4 cm), connecter les piles en série. Ce fil servira d’interrupteur.</w:t>
      </w:r>
    </w:p>
    <w:p w:rsidR="00735D70" w:rsidRDefault="00735D70" w:rsidP="00735D70">
      <w:pPr>
        <w:pStyle w:val="Doc-corpsdetexte"/>
        <w:numPr>
          <w:ilvl w:val="0"/>
          <w:numId w:val="24"/>
        </w:numPr>
      </w:pPr>
      <w:r>
        <w:t>Dès que le courant passe, la mine se met à chauffer (un dégagement de fumée peut être visible). NE PAS TOUCHER LA MINE.</w:t>
      </w:r>
    </w:p>
    <w:p w:rsidR="00735D70" w:rsidRDefault="00735D70" w:rsidP="00735D70">
      <w:pPr>
        <w:pStyle w:val="Doc-corpsdetexte"/>
        <w:numPr>
          <w:ilvl w:val="0"/>
          <w:numId w:val="24"/>
        </w:numPr>
      </w:pPr>
      <w:r>
        <w:t xml:space="preserve">Attendre environ 1 min. Pour montrer que la température dépasse les 100°C, faire tomber une goutte d’eau sur la mine. L’eau s’évapore en émettant un grésillement caractéristique </w:t>
      </w:r>
      <w:r w:rsidRPr="00AB44D0">
        <w:rPr>
          <w:i/>
          <w:color w:val="003399"/>
        </w:rPr>
        <w:t>(vidéo sur le site)</w:t>
      </w:r>
      <w:r>
        <w:t>. DEBRANCHER.</w:t>
      </w:r>
    </w:p>
    <w:p w:rsidR="00735D70" w:rsidRDefault="00735D70" w:rsidP="00735D70">
      <w:pPr>
        <w:pStyle w:val="Doc-corpsdetexte"/>
        <w:numPr>
          <w:ilvl w:val="0"/>
          <w:numId w:val="24"/>
        </w:numPr>
        <w:rPr>
          <w:b/>
        </w:rPr>
      </w:pPr>
      <w:r>
        <w:t xml:space="preserve">Cette expérience est capricieuse : les mines ne sont pas composées que de graphite, et leurs propriétés changent en fonction de la marque. Certaines dégagent peu de fumée. On peut réaliser cette expérience avec un générateur et sur différents diamètres de mine. Avec assez de puissance, les mines peuvent être portées à incandescence. </w:t>
      </w:r>
      <w:r w:rsidRPr="00C17259">
        <w:rPr>
          <w:i/>
          <w:color w:val="003399"/>
        </w:rPr>
        <w:t>Pour des variantes de cette expérience, voir le site.</w:t>
      </w:r>
    </w:p>
    <w:p w:rsidR="00735D70" w:rsidRPr="005C5F45" w:rsidRDefault="00735D70" w:rsidP="00735D70">
      <w:pPr>
        <w:pStyle w:val="Doc-corpsdetexte"/>
        <w:ind w:firstLine="0"/>
      </w:pPr>
      <w:r w:rsidRPr="005C5F45">
        <w:rPr>
          <w:b/>
          <w:color w:val="FF0000"/>
        </w:rPr>
        <w:t>IMPORTANT</w:t>
      </w:r>
      <w:r>
        <w:t xml:space="preserve">. </w:t>
      </w:r>
      <w:r w:rsidRPr="00EC7EDC">
        <w:t xml:space="preserve">Une mine de 2 mm </w:t>
      </w:r>
      <w:r>
        <w:t xml:space="preserve">a une résistance </w:t>
      </w:r>
      <w:r w:rsidRPr="00EC7EDC">
        <w:t>d’environ 14 Ohm (2,5 Ohm pour les mines de 0,7 mm), soit moins que les piles connectées en série. Durant l’expérience,</w:t>
      </w:r>
      <w:r w:rsidRPr="00EC7EDC">
        <w:rPr>
          <w:color w:val="FF0000"/>
        </w:rPr>
        <w:t xml:space="preserve"> les piles chauffent. Ne pas les laisser branchées plus de 2 min.</w:t>
      </w:r>
      <w:r w:rsidRPr="005C5F45">
        <w:rPr>
          <w:b/>
        </w:rPr>
        <w:br w:type="page"/>
      </w:r>
    </w:p>
    <w:p w:rsidR="00735D70" w:rsidRPr="00E0204F" w:rsidRDefault="00735D70" w:rsidP="00735D70">
      <w:pPr>
        <w:pStyle w:val="Doc-titre3"/>
      </w:pPr>
      <w:bookmarkStart w:id="23" w:name="_Toc336593325"/>
      <w:r w:rsidRPr="00E0204F">
        <w:lastRenderedPageBreak/>
        <w:t>De l’énergie électrique à l’énergie chimique : l’électrolyse de l’eau</w:t>
      </w:r>
      <w:bookmarkEnd w:id="23"/>
    </w:p>
    <w:p w:rsidR="00735D70" w:rsidRPr="00155456" w:rsidRDefault="00735D70" w:rsidP="00735D70">
      <w:pPr>
        <w:pStyle w:val="Doc-corpsdetexte"/>
        <w:spacing w:before="240"/>
        <w:ind w:firstLine="0"/>
      </w:pPr>
      <w:r w:rsidRPr="006E4A8B">
        <w:rPr>
          <w:b/>
        </w:rPr>
        <w:t>Matériel</w:t>
      </w:r>
      <w:r>
        <w:t> </w:t>
      </w:r>
      <w:r>
        <w:rPr>
          <w:b/>
        </w:rPr>
        <w:t>:</w:t>
      </w:r>
      <w:r w:rsidRPr="002A6C5F">
        <w:t xml:space="preserve"> </w:t>
      </w:r>
      <w:r w:rsidRPr="00E17EDF">
        <w:t xml:space="preserve">deux tubes à essai </w:t>
      </w:r>
      <w:r>
        <w:t>en verre ou plastique</w:t>
      </w:r>
      <w:r w:rsidRPr="00E17EDF">
        <w:t xml:space="preserve">/ </w:t>
      </w:r>
      <w:r>
        <w:t>deux fils électrique d’environ 20 cm / du papier aluminium / une pile 9 V / de l’eau / du sel / un récipient (type boîte de conservation) en verre ou plastique / des allumettes</w:t>
      </w:r>
    </w:p>
    <w:p w:rsidR="00735D70" w:rsidRDefault="00735D70" w:rsidP="00735D70">
      <w:pPr>
        <w:pStyle w:val="Doc-corpsdetexte"/>
        <w:ind w:firstLine="0"/>
        <w:rPr>
          <w:b/>
        </w:rPr>
      </w:pPr>
      <w:r w:rsidRPr="003B200F">
        <w:rPr>
          <w:b/>
        </w:rPr>
        <w:t>Questionnements</w:t>
      </w:r>
    </w:p>
    <w:p w:rsidR="00735D70" w:rsidRPr="005C5F45" w:rsidRDefault="00735D70" w:rsidP="00735D70">
      <w:pPr>
        <w:pStyle w:val="Doc-corpsdetexte"/>
        <w:numPr>
          <w:ilvl w:val="0"/>
          <w:numId w:val="25"/>
        </w:numPr>
      </w:pPr>
      <w:r>
        <w:t>Comment de l’électricité peut former du dihydrogène et du dioxygène à partir d’eau ? Quelle proportion de chaque gaz obtient-on en volume (ce qui, pour un gaz, correspond au nombre d’atomes) ?</w:t>
      </w:r>
    </w:p>
    <w:p w:rsidR="00735D70" w:rsidRPr="00C43ADE" w:rsidRDefault="00A454F2" w:rsidP="00735D70">
      <w:pPr>
        <w:pStyle w:val="Doc-corpsdetexte"/>
        <w:numPr>
          <w:ilvl w:val="1"/>
          <w:numId w:val="25"/>
        </w:numPr>
        <w:tabs>
          <w:tab w:val="left" w:pos="1843"/>
          <w:tab w:val="left" w:pos="2977"/>
        </w:tabs>
      </w:pPr>
      <w:r w:rsidRPr="00A454F2">
        <w:rPr>
          <w:b/>
          <w:noProof/>
          <w:lang w:eastAsia="fr-FR" w:bidi="ar-SA"/>
        </w:rPr>
        <w:pict>
          <v:shape id="_x0000_s1659" type="#_x0000_t32" style="position:absolute;left:0;text-align:left;margin-left:65.15pt;margin-top:9.5pt;width:23.25pt;height:0;z-index:252303360" o:connectortype="straight">
            <v:stroke endarrow="block"/>
          </v:shape>
        </w:pict>
      </w:r>
      <w:r w:rsidR="00735D70" w:rsidRPr="00F51789">
        <w:t>2H</w:t>
      </w:r>
      <w:r w:rsidR="00735D70" w:rsidRPr="00C427E2">
        <w:rPr>
          <w:vertAlign w:val="subscript"/>
        </w:rPr>
        <w:t>2</w:t>
      </w:r>
      <w:r w:rsidR="00735D70" w:rsidRPr="00F51789">
        <w:t>O</w:t>
      </w:r>
      <w:r w:rsidR="00735D70">
        <w:tab/>
      </w:r>
      <w:r w:rsidR="00735D70" w:rsidRPr="00F51789">
        <w:t>2H</w:t>
      </w:r>
      <w:r w:rsidR="00735D70" w:rsidRPr="00C427E2">
        <w:rPr>
          <w:vertAlign w:val="subscript"/>
        </w:rPr>
        <w:t>2</w:t>
      </w:r>
      <w:r w:rsidR="00735D70" w:rsidRPr="00F51789">
        <w:t xml:space="preserve"> + O</w:t>
      </w:r>
      <w:r w:rsidR="00735D70" w:rsidRPr="00C427E2">
        <w:rPr>
          <w:vertAlign w:val="subscript"/>
        </w:rPr>
        <w:t>2</w:t>
      </w:r>
      <w:r w:rsidR="00735D70">
        <w:rPr>
          <w:vertAlign w:val="subscript"/>
        </w:rPr>
        <w:t xml:space="preserve"> </w:t>
      </w:r>
      <w:r w:rsidR="00735D70">
        <w:rPr>
          <w:vertAlign w:val="subscript"/>
        </w:rPr>
        <w:tab/>
      </w:r>
      <w:r w:rsidR="00735D70" w:rsidRPr="00FD500C">
        <w:t>selon une</w:t>
      </w:r>
      <w:r w:rsidR="00735D70">
        <w:rPr>
          <w:vertAlign w:val="subscript"/>
        </w:rPr>
        <w:t xml:space="preserve"> </w:t>
      </w:r>
      <w:r w:rsidR="00735D70">
        <w:t>réaction d’oxydoréduction</w:t>
      </w:r>
    </w:p>
    <w:p w:rsidR="00735D70" w:rsidRDefault="00A454F2" w:rsidP="00735D70">
      <w:pPr>
        <w:pStyle w:val="Doc-corpsdetexte"/>
        <w:tabs>
          <w:tab w:val="left" w:pos="1843"/>
          <w:tab w:val="left" w:pos="3402"/>
          <w:tab w:val="left" w:pos="4536"/>
        </w:tabs>
        <w:ind w:left="680" w:firstLine="0"/>
      </w:pPr>
      <w:r w:rsidRPr="00A454F2">
        <w:rPr>
          <w:b/>
          <w:noProof/>
          <w:lang w:eastAsia="fr-FR" w:bidi="ar-SA"/>
        </w:rPr>
        <w:pict>
          <v:shape id="_x0000_s1661" type="#_x0000_t32" style="position:absolute;left:0;text-align:left;margin-left:146.15pt;margin-top:7.8pt;width:23.25pt;height:0;z-index:252305408" o:connectortype="straight">
            <v:stroke endarrow="block"/>
          </v:shape>
        </w:pict>
      </w:r>
      <w:r w:rsidR="00735D70">
        <w:t>En détail :</w:t>
      </w:r>
      <w:r w:rsidR="00735D70">
        <w:tab/>
        <w:t>2H</w:t>
      </w:r>
      <w:r w:rsidR="00735D70" w:rsidRPr="00EA3521">
        <w:rPr>
          <w:vertAlign w:val="subscript"/>
        </w:rPr>
        <w:t>2</w:t>
      </w:r>
      <w:r w:rsidR="00735D70">
        <w:t>O + 2</w:t>
      </w:r>
      <w:r w:rsidR="00735D70" w:rsidRPr="00C43ADE">
        <w:t>e</w:t>
      </w:r>
      <w:r w:rsidR="00735D70" w:rsidRPr="00EA3521">
        <w:rPr>
          <w:vertAlign w:val="superscript"/>
        </w:rPr>
        <w:t>-</w:t>
      </w:r>
      <w:r w:rsidR="00735D70">
        <w:tab/>
        <w:t>H</w:t>
      </w:r>
      <w:r w:rsidR="00735D70" w:rsidRPr="00EA3521">
        <w:rPr>
          <w:vertAlign w:val="subscript"/>
        </w:rPr>
        <w:t>2</w:t>
      </w:r>
      <w:r w:rsidR="00735D70">
        <w:t xml:space="preserve"> + 2OH</w:t>
      </w:r>
      <w:r w:rsidR="00735D70" w:rsidRPr="00EA3521">
        <w:rPr>
          <w:vertAlign w:val="superscript"/>
        </w:rPr>
        <w:t>-</w:t>
      </w:r>
      <w:r w:rsidR="00735D70">
        <w:t xml:space="preserve"> </w:t>
      </w:r>
      <w:r w:rsidR="00735D70">
        <w:tab/>
        <w:t>oxydation</w:t>
      </w:r>
    </w:p>
    <w:p w:rsidR="00735D70" w:rsidRPr="00C43ADE" w:rsidRDefault="00A454F2" w:rsidP="00735D70">
      <w:pPr>
        <w:pStyle w:val="Doc-corpsdetexte"/>
        <w:tabs>
          <w:tab w:val="left" w:pos="1843"/>
          <w:tab w:val="left" w:pos="2977"/>
          <w:tab w:val="left" w:pos="4536"/>
        </w:tabs>
        <w:ind w:left="680" w:firstLine="0"/>
      </w:pPr>
      <w:r w:rsidRPr="00A454F2">
        <w:rPr>
          <w:b/>
          <w:noProof/>
          <w:lang w:eastAsia="fr-FR" w:bidi="ar-SA"/>
        </w:rPr>
        <w:pict>
          <v:shape id="_x0000_s1660" type="#_x0000_t32" style="position:absolute;left:0;text-align:left;margin-left:122.15pt;margin-top:8.25pt;width:23.25pt;height:0;z-index:252304384" o:connectortype="straight">
            <v:stroke endarrow="block"/>
          </v:shape>
        </w:pict>
      </w:r>
      <w:r w:rsidR="00735D70">
        <w:tab/>
        <w:t>2H</w:t>
      </w:r>
      <w:r w:rsidR="00735D70" w:rsidRPr="00EA3521">
        <w:rPr>
          <w:vertAlign w:val="subscript"/>
        </w:rPr>
        <w:t>2</w:t>
      </w:r>
      <w:r w:rsidR="00735D70">
        <w:t>O</w:t>
      </w:r>
      <w:r w:rsidR="00735D70">
        <w:tab/>
        <w:t>O</w:t>
      </w:r>
      <w:r w:rsidR="00735D70" w:rsidRPr="00EA3521">
        <w:rPr>
          <w:vertAlign w:val="subscript"/>
        </w:rPr>
        <w:t>2</w:t>
      </w:r>
      <w:r w:rsidR="00735D70">
        <w:t xml:space="preserve"> + 4H</w:t>
      </w:r>
      <w:r w:rsidR="00735D70" w:rsidRPr="00EA3521">
        <w:rPr>
          <w:vertAlign w:val="superscript"/>
        </w:rPr>
        <w:t>+</w:t>
      </w:r>
      <w:r w:rsidR="00735D70">
        <w:t xml:space="preserve"> + 4</w:t>
      </w:r>
      <w:r w:rsidR="00735D70" w:rsidRPr="00EA3521">
        <w:t>e</w:t>
      </w:r>
      <w:r w:rsidR="00735D70" w:rsidRPr="00EA3521">
        <w:rPr>
          <w:vertAlign w:val="superscript"/>
        </w:rPr>
        <w:t>-</w:t>
      </w:r>
      <w:r w:rsidR="00735D70">
        <w:t xml:space="preserve"> </w:t>
      </w:r>
      <w:r w:rsidR="00735D70">
        <w:tab/>
        <w:t>réduction</w:t>
      </w:r>
    </w:p>
    <w:p w:rsidR="00735D70" w:rsidRPr="00C427E2" w:rsidRDefault="00735D70" w:rsidP="00735D70">
      <w:pPr>
        <w:pStyle w:val="Doc-corpsdetexte"/>
        <w:tabs>
          <w:tab w:val="left" w:pos="1843"/>
        </w:tabs>
        <w:ind w:left="340" w:firstLine="0"/>
      </w:pPr>
      <w:r>
        <w:t>Selon cette équation, on s’attend donc à récupérer un volume de dihydrogène deux fois plus important que le volume de dioxygène.</w:t>
      </w:r>
    </w:p>
    <w:p w:rsidR="00735D70" w:rsidRDefault="00735D70" w:rsidP="00735D70">
      <w:pPr>
        <w:pStyle w:val="Doc-corpsdetexte"/>
        <w:numPr>
          <w:ilvl w:val="0"/>
          <w:numId w:val="25"/>
        </w:numPr>
      </w:pPr>
      <w:r>
        <w:t>Le dihydrogène est un vecteur énergétique. Comment récupérer cette énergie ?</w:t>
      </w:r>
    </w:p>
    <w:p w:rsidR="00735D70" w:rsidRDefault="00735D70" w:rsidP="00735D70">
      <w:pPr>
        <w:pStyle w:val="Doc-corpsdetexte"/>
        <w:numPr>
          <w:ilvl w:val="1"/>
          <w:numId w:val="25"/>
        </w:numPr>
      </w:pPr>
      <w:r>
        <w:t>C’est la réaction qui a lieu dans une pile à combustible H</w:t>
      </w:r>
      <w:r w:rsidRPr="002E2E09">
        <w:rPr>
          <w:vertAlign w:val="subscript"/>
        </w:rPr>
        <w:t>2</w:t>
      </w:r>
      <w:r>
        <w:t xml:space="preserve"> / O</w:t>
      </w:r>
      <w:r w:rsidRPr="002E2E09">
        <w:rPr>
          <w:vertAlign w:val="subscript"/>
        </w:rPr>
        <w:t>2</w:t>
      </w:r>
      <w:r>
        <w:t>.</w:t>
      </w:r>
      <w:r w:rsidRPr="00862E06">
        <w:t xml:space="preserve"> </w:t>
      </w:r>
      <w:r>
        <w:t>Les électrons sont dirigés vers un circuit extérieur à la pile pour produire un courant électrique.</w:t>
      </w:r>
    </w:p>
    <w:p w:rsidR="00735D70" w:rsidRDefault="00A454F2" w:rsidP="00735D70">
      <w:pPr>
        <w:pStyle w:val="Doc-corpsdetexte"/>
        <w:tabs>
          <w:tab w:val="left" w:pos="1560"/>
        </w:tabs>
        <w:ind w:left="340"/>
      </w:pPr>
      <w:r w:rsidRPr="00A454F2">
        <w:rPr>
          <w:b/>
          <w:noProof/>
          <w:lang w:eastAsia="fr-FR" w:bidi="ar-SA"/>
        </w:rPr>
        <w:pict>
          <v:shape id="_x0000_s1657" type="#_x0000_t32" style="position:absolute;left:0;text-align:left;margin-left:54.65pt;margin-top:7.25pt;width:23.25pt;height:0;z-index:252299264" o:connectortype="straight">
            <v:stroke endarrow="block"/>
          </v:shape>
        </w:pict>
      </w:r>
      <w:r w:rsidR="00735D70">
        <w:t>2H</w:t>
      </w:r>
      <w:r w:rsidR="00735D70" w:rsidRPr="00E87846">
        <w:rPr>
          <w:vertAlign w:val="subscript"/>
        </w:rPr>
        <w:t>2</w:t>
      </w:r>
      <w:r w:rsidR="00735D70">
        <w:tab/>
        <w:t>4H</w:t>
      </w:r>
      <w:r w:rsidR="00735D70" w:rsidRPr="00E87846">
        <w:rPr>
          <w:vertAlign w:val="superscript"/>
        </w:rPr>
        <w:t>+</w:t>
      </w:r>
      <w:r w:rsidR="00735D70">
        <w:t xml:space="preserve"> + 4</w:t>
      </w:r>
      <w:r w:rsidR="00735D70" w:rsidRPr="00C46E01">
        <w:t>e</w:t>
      </w:r>
      <w:r w:rsidR="00735D70" w:rsidRPr="00E87846">
        <w:rPr>
          <w:vertAlign w:val="superscript"/>
        </w:rPr>
        <w:t>-</w:t>
      </w:r>
    </w:p>
    <w:p w:rsidR="00735D70" w:rsidRDefault="00A454F2" w:rsidP="00735D70">
      <w:pPr>
        <w:pStyle w:val="Doc-corpsdetexte"/>
        <w:tabs>
          <w:tab w:val="left" w:pos="2552"/>
        </w:tabs>
        <w:ind w:left="340"/>
      </w:pPr>
      <w:r w:rsidRPr="00A454F2">
        <w:rPr>
          <w:b/>
          <w:noProof/>
          <w:lang w:eastAsia="fr-FR" w:bidi="ar-SA"/>
        </w:rPr>
        <w:pict>
          <v:shape id="_x0000_s1658" type="#_x0000_t32" style="position:absolute;left:0;text-align:left;margin-left:102.3pt;margin-top:8.25pt;width:23.25pt;height:0;z-index:252300288" o:connectortype="straight">
            <v:stroke endarrow="block"/>
          </v:shape>
        </w:pict>
      </w:r>
      <w:r w:rsidR="00735D70">
        <w:t>4H</w:t>
      </w:r>
      <w:r w:rsidR="00735D70" w:rsidRPr="00E87846">
        <w:rPr>
          <w:vertAlign w:val="superscript"/>
        </w:rPr>
        <w:t>+</w:t>
      </w:r>
      <w:r w:rsidR="00735D70">
        <w:t xml:space="preserve"> + 4</w:t>
      </w:r>
      <w:r w:rsidR="00735D70" w:rsidRPr="00C46E01">
        <w:t>e</w:t>
      </w:r>
      <w:r w:rsidR="00735D70" w:rsidRPr="00E87846">
        <w:rPr>
          <w:vertAlign w:val="superscript"/>
        </w:rPr>
        <w:t>-</w:t>
      </w:r>
      <w:r w:rsidR="00735D70">
        <w:t xml:space="preserve"> + O</w:t>
      </w:r>
      <w:r w:rsidR="00735D70" w:rsidRPr="00E87846">
        <w:rPr>
          <w:vertAlign w:val="subscript"/>
        </w:rPr>
        <w:t>2</w:t>
      </w:r>
      <w:r w:rsidR="00735D70">
        <w:tab/>
        <w:t>2H</w:t>
      </w:r>
      <w:r w:rsidR="00735D70" w:rsidRPr="00E87846">
        <w:rPr>
          <w:vertAlign w:val="subscript"/>
        </w:rPr>
        <w:t>2</w:t>
      </w:r>
      <w:r w:rsidR="00735D70">
        <w:t>O</w:t>
      </w:r>
    </w:p>
    <w:p w:rsidR="00735D70" w:rsidRDefault="00735D70" w:rsidP="00735D70">
      <w:pPr>
        <w:pStyle w:val="Doc-corpsdetexte"/>
        <w:numPr>
          <w:ilvl w:val="0"/>
          <w:numId w:val="25"/>
        </w:numPr>
      </w:pPr>
      <w:r>
        <w:t>Quels sont les paramètres à prendre en compte pour récupérer H</w:t>
      </w:r>
      <w:r w:rsidRPr="00880299">
        <w:rPr>
          <w:vertAlign w:val="subscript"/>
        </w:rPr>
        <w:t>2</w:t>
      </w:r>
      <w:r>
        <w:t xml:space="preserve"> et O</w:t>
      </w:r>
      <w:r w:rsidRPr="00880299">
        <w:rPr>
          <w:vertAlign w:val="subscript"/>
        </w:rPr>
        <w:t>2</w:t>
      </w:r>
      <w:r>
        <w:t> ?</w:t>
      </w:r>
    </w:p>
    <w:p w:rsidR="00735D70" w:rsidRDefault="00735D70" w:rsidP="00735D70">
      <w:pPr>
        <w:pStyle w:val="Doc-corpsdetexte"/>
        <w:numPr>
          <w:ilvl w:val="1"/>
          <w:numId w:val="25"/>
        </w:numPr>
      </w:pPr>
      <w:r w:rsidRPr="00F72F07">
        <w:rPr>
          <w:i/>
        </w:rPr>
        <w:t>Le choix du matériau pour l’électrode</w:t>
      </w:r>
      <w:r>
        <w:t>. Si on utilise du cuivre, l’O</w:t>
      </w:r>
      <w:r w:rsidRPr="00321158">
        <w:rPr>
          <w:vertAlign w:val="subscript"/>
        </w:rPr>
        <w:t>2</w:t>
      </w:r>
      <w:r>
        <w:t xml:space="preserve"> formé va réagir avec. Un précipité d’oxyde de cuivre se forme, il n’y a plus de dégagement gazeux </w:t>
      </w:r>
      <w:r w:rsidRPr="00490E25">
        <w:rPr>
          <w:i/>
          <w:color w:val="003399"/>
        </w:rPr>
        <w:t>(voir le résultat sur le site)</w:t>
      </w:r>
      <w:r>
        <w:t>. C’est pourquoi on décide d’entourer le fil électrique (donc du cuivre) avec de l’aluminium.</w:t>
      </w:r>
    </w:p>
    <w:p w:rsidR="00735D70" w:rsidRDefault="00735D70" w:rsidP="00735D70">
      <w:pPr>
        <w:pStyle w:val="Doc-corpsdetexte"/>
        <w:numPr>
          <w:ilvl w:val="1"/>
          <w:numId w:val="25"/>
        </w:numPr>
      </w:pPr>
      <w:r w:rsidRPr="00F72F07">
        <w:rPr>
          <w:i/>
        </w:rPr>
        <w:t>Le choix de l</w:t>
      </w:r>
      <w:r>
        <w:rPr>
          <w:i/>
        </w:rPr>
        <w:t>a solution électrolysée (ici eau plus chlorure de sodium)</w:t>
      </w:r>
      <w:r>
        <w:t>. Dans nos conditions d’expérience, on observe que le volume d’O</w:t>
      </w:r>
      <w:r w:rsidRPr="00321158">
        <w:rPr>
          <w:vertAlign w:val="subscript"/>
        </w:rPr>
        <w:t>2</w:t>
      </w:r>
      <w:r>
        <w:t xml:space="preserve"> récupéré est proportionnellement bien inférieur à ce à quoi on s’attendait. Le NaCl entre dans l’équation d’oxydoréduction qui a lieu. En réalité, ce n’est pas de l’O</w:t>
      </w:r>
      <w:r w:rsidRPr="00813460">
        <w:rPr>
          <w:vertAlign w:val="subscript"/>
        </w:rPr>
        <w:t>2</w:t>
      </w:r>
      <w:r>
        <w:t xml:space="preserve"> mais du Cl</w:t>
      </w:r>
      <w:r w:rsidRPr="00813460">
        <w:rPr>
          <w:vertAlign w:val="subscript"/>
        </w:rPr>
        <w:t>2</w:t>
      </w:r>
      <w:r>
        <w:t xml:space="preserve"> (dichlorure) qui se forme, et réagit pour donner de l’eau de javel.</w:t>
      </w:r>
    </w:p>
    <w:p w:rsidR="00735D70" w:rsidRPr="00C362A4" w:rsidRDefault="00A454F2" w:rsidP="00735D70">
      <w:pPr>
        <w:pStyle w:val="Doc-corpsdetexte"/>
        <w:tabs>
          <w:tab w:val="left" w:pos="1843"/>
        </w:tabs>
        <w:ind w:left="709" w:firstLine="0"/>
        <w:rPr>
          <w:lang w:val="en-US"/>
        </w:rPr>
      </w:pPr>
      <w:r>
        <w:rPr>
          <w:noProof/>
          <w:lang w:eastAsia="fr-FR" w:bidi="ar-SA"/>
        </w:rPr>
        <w:pict>
          <v:shape id="_x0000_s1662" type="#_x0000_t32" style="position:absolute;left:0;text-align:left;margin-left:67.05pt;margin-top:8.55pt;width:23.25pt;height:0;z-index:252306432" o:connectortype="straight">
            <v:stroke endarrow="block"/>
          </v:shape>
        </w:pict>
      </w:r>
      <w:r w:rsidR="00735D70" w:rsidRPr="00735D70">
        <w:rPr>
          <w:lang w:val="en-US"/>
        </w:rPr>
        <w:t>2NaCl</w:t>
      </w:r>
      <w:r w:rsidR="00735D70" w:rsidRPr="00C362A4">
        <w:rPr>
          <w:lang w:val="en-US"/>
        </w:rPr>
        <w:tab/>
        <w:t>2Na</w:t>
      </w:r>
      <w:r w:rsidR="00735D70" w:rsidRPr="00C362A4">
        <w:rPr>
          <w:vertAlign w:val="superscript"/>
          <w:lang w:val="en-US"/>
        </w:rPr>
        <w:t>+</w:t>
      </w:r>
      <w:r w:rsidR="00735D70" w:rsidRPr="00C362A4">
        <w:rPr>
          <w:lang w:val="en-US"/>
        </w:rPr>
        <w:t xml:space="preserve"> + 2Cl</w:t>
      </w:r>
      <w:r w:rsidR="00735D70" w:rsidRPr="00C362A4">
        <w:rPr>
          <w:vertAlign w:val="superscript"/>
          <w:lang w:val="en-US"/>
        </w:rPr>
        <w:t>-</w:t>
      </w:r>
    </w:p>
    <w:p w:rsidR="00735D70" w:rsidRPr="00735D70" w:rsidRDefault="00A454F2" w:rsidP="00735D70">
      <w:pPr>
        <w:pStyle w:val="Doc-corpsdetexte"/>
        <w:tabs>
          <w:tab w:val="left" w:pos="1843"/>
          <w:tab w:val="left" w:pos="2410"/>
        </w:tabs>
        <w:ind w:left="709" w:firstLine="0"/>
        <w:rPr>
          <w:lang w:val="en-US"/>
        </w:rPr>
      </w:pPr>
      <w:r>
        <w:rPr>
          <w:noProof/>
          <w:lang w:eastAsia="fr-FR" w:bidi="ar-SA"/>
        </w:rPr>
        <w:pict>
          <v:shape id="_x0000_s1664" type="#_x0000_t32" style="position:absolute;left:0;text-align:left;margin-left:94.05pt;margin-top:8.2pt;width:23.25pt;height:0;z-index:252308480" o:connectortype="straight">
            <v:stroke endarrow="block"/>
          </v:shape>
        </w:pict>
      </w:r>
      <w:r w:rsidR="00735D70" w:rsidRPr="00735D70">
        <w:rPr>
          <w:lang w:val="en-US"/>
        </w:rPr>
        <w:t>2H</w:t>
      </w:r>
      <w:r w:rsidR="00735D70" w:rsidRPr="00735D70">
        <w:rPr>
          <w:vertAlign w:val="subscript"/>
          <w:lang w:val="en-US"/>
        </w:rPr>
        <w:t>2</w:t>
      </w:r>
      <w:r w:rsidR="00735D70" w:rsidRPr="00735D70">
        <w:rPr>
          <w:lang w:val="en-US"/>
        </w:rPr>
        <w:t>O + 2Cl</w:t>
      </w:r>
      <w:r w:rsidR="00735D70" w:rsidRPr="00735D70">
        <w:rPr>
          <w:vertAlign w:val="superscript"/>
          <w:lang w:val="en-US"/>
        </w:rPr>
        <w:t>-</w:t>
      </w:r>
      <w:r w:rsidR="00735D70" w:rsidRPr="00735D70">
        <w:rPr>
          <w:lang w:val="en-US"/>
        </w:rPr>
        <w:tab/>
      </w:r>
      <w:r w:rsidR="00735D70" w:rsidRPr="00735D70">
        <w:rPr>
          <w:lang w:val="en-US"/>
        </w:rPr>
        <w:tab/>
        <w:t>H</w:t>
      </w:r>
      <w:r w:rsidR="00735D70" w:rsidRPr="00735D70">
        <w:rPr>
          <w:vertAlign w:val="subscript"/>
          <w:lang w:val="en-US"/>
        </w:rPr>
        <w:t>2</w:t>
      </w:r>
      <w:r w:rsidR="00735D70" w:rsidRPr="00735D70">
        <w:rPr>
          <w:lang w:val="en-US"/>
        </w:rPr>
        <w:t xml:space="preserve"> + 2OH</w:t>
      </w:r>
      <w:r w:rsidR="00735D70" w:rsidRPr="00735D70">
        <w:rPr>
          <w:vertAlign w:val="superscript"/>
          <w:lang w:val="en-US"/>
        </w:rPr>
        <w:t>-</w:t>
      </w:r>
      <w:r w:rsidR="00735D70" w:rsidRPr="00735D70">
        <w:rPr>
          <w:lang w:val="en-US"/>
        </w:rPr>
        <w:t xml:space="preserve"> + Cl</w:t>
      </w:r>
      <w:r w:rsidR="00735D70" w:rsidRPr="00735D70">
        <w:rPr>
          <w:vertAlign w:val="subscript"/>
          <w:lang w:val="en-US"/>
        </w:rPr>
        <w:t>2</w:t>
      </w:r>
    </w:p>
    <w:p w:rsidR="00735D70" w:rsidRPr="006E12B2" w:rsidRDefault="00A454F2" w:rsidP="00735D70">
      <w:pPr>
        <w:pStyle w:val="Doc-corpsdetexte"/>
        <w:tabs>
          <w:tab w:val="left" w:pos="1843"/>
          <w:tab w:val="left" w:pos="2977"/>
        </w:tabs>
        <w:ind w:left="709" w:firstLine="0"/>
      </w:pPr>
      <w:r>
        <w:rPr>
          <w:noProof/>
          <w:lang w:eastAsia="fr-FR" w:bidi="ar-SA"/>
        </w:rPr>
        <w:pict>
          <v:shape id="_x0000_s1663" type="#_x0000_t32" style="position:absolute;left:0;text-align:left;margin-left:122.9pt;margin-top:8.65pt;width:23.25pt;height:0;z-index:252307456" o:connectortype="straight">
            <v:stroke endarrow="block"/>
          </v:shape>
        </w:pict>
      </w:r>
      <w:r w:rsidR="00735D70" w:rsidRPr="006E12B2">
        <w:t>Cl</w:t>
      </w:r>
      <w:r w:rsidR="00735D70" w:rsidRPr="006E12B2">
        <w:rPr>
          <w:vertAlign w:val="subscript"/>
        </w:rPr>
        <w:t>2</w:t>
      </w:r>
      <w:r w:rsidR="00735D70" w:rsidRPr="006E12B2">
        <w:t xml:space="preserve"> + 2(Na</w:t>
      </w:r>
      <w:r w:rsidR="00735D70" w:rsidRPr="006E12B2">
        <w:rPr>
          <w:vertAlign w:val="superscript"/>
        </w:rPr>
        <w:t>+</w:t>
      </w:r>
      <w:r w:rsidR="00735D70" w:rsidRPr="006E12B2">
        <w:t xml:space="preserve"> + OH</w:t>
      </w:r>
      <w:r w:rsidR="00735D70" w:rsidRPr="006E12B2">
        <w:rPr>
          <w:vertAlign w:val="superscript"/>
        </w:rPr>
        <w:t>-</w:t>
      </w:r>
      <w:r w:rsidR="00735D70" w:rsidRPr="006E12B2">
        <w:t>)</w:t>
      </w:r>
      <w:r w:rsidR="00735D70" w:rsidRPr="006E12B2">
        <w:tab/>
        <w:t xml:space="preserve">NaClO (eau de javel) + </w:t>
      </w:r>
      <w:r w:rsidR="00735D70">
        <w:t>NaCl + H</w:t>
      </w:r>
      <w:r w:rsidR="00735D70" w:rsidRPr="006E12B2">
        <w:rPr>
          <w:vertAlign w:val="subscript"/>
        </w:rPr>
        <w:t>2</w:t>
      </w:r>
      <w:r w:rsidR="00735D70">
        <w:t xml:space="preserve">O. </w:t>
      </w:r>
    </w:p>
    <w:p w:rsidR="00735D70" w:rsidRDefault="00735D70" w:rsidP="00735D70">
      <w:pPr>
        <w:pStyle w:val="Doc-corpsdetexte"/>
        <w:ind w:firstLine="0"/>
        <w:rPr>
          <w:b/>
        </w:rPr>
      </w:pPr>
      <w:r>
        <w:rPr>
          <w:b/>
        </w:rPr>
        <w:lastRenderedPageBreak/>
        <w:t>Réalisation</w:t>
      </w:r>
    </w:p>
    <w:p w:rsidR="00735D70" w:rsidRDefault="00735D70" w:rsidP="00735D70">
      <w:pPr>
        <w:pStyle w:val="Doc-corpsdetexte"/>
        <w:numPr>
          <w:ilvl w:val="0"/>
          <w:numId w:val="26"/>
        </w:numPr>
      </w:pPr>
      <w:r>
        <w:rPr>
          <w:noProof/>
          <w:lang w:eastAsia="fr-FR" w:bidi="ar-SA"/>
        </w:rPr>
        <w:drawing>
          <wp:anchor distT="0" distB="0" distL="114300" distR="114300" simplePos="0" relativeHeight="252302336" behindDoc="0" locked="0" layoutInCell="1" allowOverlap="1">
            <wp:simplePos x="0" y="0"/>
            <wp:positionH relativeFrom="column">
              <wp:posOffset>7653020</wp:posOffset>
            </wp:positionH>
            <wp:positionV relativeFrom="paragraph">
              <wp:posOffset>3152775</wp:posOffset>
            </wp:positionV>
            <wp:extent cx="1801495" cy="1800225"/>
            <wp:effectExtent l="19050" t="0" r="8255" b="0"/>
            <wp:wrapSquare wrapText="bothSides"/>
            <wp:docPr id="19" name="Image 15" descr="Alu-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04-300.jpg"/>
                    <pic:cNvPicPr/>
                  </pic:nvPicPr>
                  <pic:blipFill>
                    <a:blip r:embed="rId24"/>
                    <a:stretch>
                      <a:fillRect/>
                    </a:stretch>
                  </pic:blipFill>
                  <pic:spPr>
                    <a:xfrm>
                      <a:off x="0" y="0"/>
                      <a:ext cx="1801495" cy="1800225"/>
                    </a:xfrm>
                    <a:prstGeom prst="rect">
                      <a:avLst/>
                    </a:prstGeom>
                  </pic:spPr>
                </pic:pic>
              </a:graphicData>
            </a:graphic>
          </wp:anchor>
        </w:drawing>
      </w:r>
      <w:r>
        <w:rPr>
          <w:noProof/>
          <w:lang w:eastAsia="fr-FR" w:bidi="ar-SA"/>
        </w:rPr>
        <w:drawing>
          <wp:anchor distT="0" distB="0" distL="114300" distR="114300" simplePos="0" relativeHeight="252301312" behindDoc="0" locked="0" layoutInCell="1" allowOverlap="1">
            <wp:simplePos x="0" y="0"/>
            <wp:positionH relativeFrom="column">
              <wp:posOffset>7653020</wp:posOffset>
            </wp:positionH>
            <wp:positionV relativeFrom="paragraph">
              <wp:posOffset>85725</wp:posOffset>
            </wp:positionV>
            <wp:extent cx="1801495" cy="2562225"/>
            <wp:effectExtent l="19050" t="0" r="8255" b="0"/>
            <wp:wrapSquare wrapText="bothSides"/>
            <wp:docPr id="24" name="Image 4" descr="Alu-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02-300.jpg"/>
                    <pic:cNvPicPr/>
                  </pic:nvPicPr>
                  <pic:blipFill>
                    <a:blip r:embed="rId25"/>
                    <a:stretch>
                      <a:fillRect/>
                    </a:stretch>
                  </pic:blipFill>
                  <pic:spPr>
                    <a:xfrm>
                      <a:off x="0" y="0"/>
                      <a:ext cx="1801495" cy="2562225"/>
                    </a:xfrm>
                    <a:prstGeom prst="rect">
                      <a:avLst/>
                    </a:prstGeom>
                  </pic:spPr>
                </pic:pic>
              </a:graphicData>
            </a:graphic>
          </wp:anchor>
        </w:drawing>
      </w:r>
      <w:r>
        <w:t>Dissoudre le sel dans l’eau à saturation (solubilité du NaCl à 20°C = 357 g/l d’eau) dans le récipient.</w:t>
      </w:r>
    </w:p>
    <w:p w:rsidR="00735D70" w:rsidRDefault="00735D70" w:rsidP="00735D70">
      <w:pPr>
        <w:pStyle w:val="Doc-corpsdetexte"/>
        <w:numPr>
          <w:ilvl w:val="0"/>
          <w:numId w:val="26"/>
        </w:numPr>
      </w:pPr>
      <w:r>
        <w:t>Dénuder un fil sur 1 cm environ de chaque côté. A une extrémité, entourer d’un carré de papier aluminium pour former une première électrode. A l’autre extrémité, faire une boucle (future connexion à une borne de la pile). Plonger l’électrode dans l’électrolyte (bien agiter pour que tout l’air sorte du papier aluminium). Remplir un tube avec l’électrolyte et le retourner sur l’électrode (attention à ne pas laisser d’air dans le tube). Répéter avec le deuxième fil pour fabriquer la deuxième électrode.</w:t>
      </w:r>
    </w:p>
    <w:p w:rsidR="00735D70" w:rsidRDefault="00735D70" w:rsidP="00735D70">
      <w:pPr>
        <w:pStyle w:val="Doc-corpsdetexte"/>
        <w:numPr>
          <w:ilvl w:val="0"/>
          <w:numId w:val="26"/>
        </w:numPr>
      </w:pPr>
      <w:r>
        <w:t>Connecter chaque fil à une des bornes de la pile. On observe immédiatement un dégagement de gaz dans chacun des tubes. A l’anode (connectée à la borne +) se forme du O</w:t>
      </w:r>
      <w:r w:rsidRPr="009B6472">
        <w:rPr>
          <w:vertAlign w:val="subscript"/>
        </w:rPr>
        <w:t>2</w:t>
      </w:r>
      <w:r>
        <w:t>. A la cathode se forme du H</w:t>
      </w:r>
      <w:r w:rsidRPr="009B6472">
        <w:rPr>
          <w:vertAlign w:val="subscript"/>
        </w:rPr>
        <w:t>2</w:t>
      </w:r>
      <w:r>
        <w:t>.</w:t>
      </w:r>
    </w:p>
    <w:p w:rsidR="00735D70" w:rsidRDefault="00735D70" w:rsidP="00735D70">
      <w:pPr>
        <w:pStyle w:val="Doc-corpsdetexte"/>
        <w:numPr>
          <w:ilvl w:val="0"/>
          <w:numId w:val="26"/>
        </w:numPr>
        <w:rPr>
          <w:b/>
        </w:rPr>
      </w:pPr>
      <w:r>
        <w:t>Vérifier la formation de H</w:t>
      </w:r>
      <w:r w:rsidRPr="007572F9">
        <w:rPr>
          <w:vertAlign w:val="subscript"/>
        </w:rPr>
        <w:t>2</w:t>
      </w:r>
      <w:r>
        <w:t xml:space="preserve"> grâce à une flamme. Récupérer le tube de la cathode en le maintenant fermé avec le doigt. Ouvrir devant la flamme : on entend un « pop » caractéristique </w:t>
      </w:r>
      <w:r w:rsidRPr="004A3879">
        <w:rPr>
          <w:i/>
          <w:color w:val="003399"/>
        </w:rPr>
        <w:t>(voir la vidéo sur le site)</w:t>
      </w:r>
      <w:r>
        <w:t xml:space="preserve">. </w:t>
      </w:r>
      <w:r w:rsidRPr="00217B08">
        <w:rPr>
          <w:color w:val="FF0000"/>
        </w:rPr>
        <w:t>Attention</w:t>
      </w:r>
      <w:r>
        <w:t> : cette manipulation est sans danger tant que la quantité d’H</w:t>
      </w:r>
      <w:r w:rsidRPr="00217B08">
        <w:rPr>
          <w:vertAlign w:val="subscript"/>
        </w:rPr>
        <w:t>2</w:t>
      </w:r>
      <w:r>
        <w:t xml:space="preserve"> est faible (quelques cm</w:t>
      </w:r>
      <w:r w:rsidRPr="00217B08">
        <w:rPr>
          <w:vertAlign w:val="superscript"/>
        </w:rPr>
        <w:t>3</w:t>
      </w:r>
      <w:r>
        <w:t>) et qu’elle se fait à l’air libre. Bien dégager l’espace autour de la flamme.</w:t>
      </w:r>
    </w:p>
    <w:p w:rsidR="00735D70" w:rsidRDefault="00735D70" w:rsidP="00735D70">
      <w:pPr>
        <w:pStyle w:val="Doc-corpsdetexte"/>
        <w:ind w:firstLine="0"/>
      </w:pPr>
      <w:r w:rsidRPr="005C5F45">
        <w:rPr>
          <w:b/>
          <w:color w:val="FF0000"/>
        </w:rPr>
        <w:t>IMPORTANT</w:t>
      </w:r>
      <w:r>
        <w:t xml:space="preserve">. </w:t>
      </w:r>
      <w:r>
        <w:rPr>
          <w:color w:val="FF0000"/>
        </w:rPr>
        <w:t>N</w:t>
      </w:r>
      <w:r w:rsidRPr="009437D3">
        <w:rPr>
          <w:color w:val="FF0000"/>
        </w:rPr>
        <w:t xml:space="preserve">e pas faire cette expérience avec du courant alternatif : </w:t>
      </w:r>
      <w:r w:rsidRPr="00A96CCA">
        <w:t>l’anode et la cathode changeraient régulièrement de côté. Vous obtiendriez un mélange d’O</w:t>
      </w:r>
      <w:r w:rsidRPr="00A96CCA">
        <w:rPr>
          <w:vertAlign w:val="subscript"/>
        </w:rPr>
        <w:t>2</w:t>
      </w:r>
      <w:r w:rsidRPr="00A96CCA">
        <w:t xml:space="preserve"> et H</w:t>
      </w:r>
      <w:r w:rsidRPr="00A96CCA">
        <w:rPr>
          <w:vertAlign w:val="subscript"/>
        </w:rPr>
        <w:t>2</w:t>
      </w:r>
      <w:r w:rsidRPr="00A96CCA">
        <w:t xml:space="preserve"> dans le même tube, </w:t>
      </w:r>
      <w:r w:rsidRPr="009437D3">
        <w:rPr>
          <w:color w:val="FF0000"/>
        </w:rPr>
        <w:t>mélange hautement explosif </w:t>
      </w:r>
      <w:r w:rsidRPr="00A96CCA">
        <w:t>! C’est aussi la raison pour laquelle il faut vérifier que lors du montage, il n’y a pas d’air dans les tubes avant de brancher.</w:t>
      </w:r>
    </w:p>
    <w:p w:rsidR="00735D70" w:rsidRDefault="00735D70" w:rsidP="00735D70">
      <w:pPr>
        <w:pStyle w:val="Doc-corpsdetexte"/>
        <w:ind w:firstLine="0"/>
      </w:pPr>
    </w:p>
    <w:p w:rsidR="00735D70" w:rsidRDefault="00735D70" w:rsidP="00735D70">
      <w:pPr>
        <w:pStyle w:val="Doc-corpsdetexte"/>
        <w:ind w:firstLine="0"/>
      </w:pPr>
      <w:r w:rsidRPr="000526BB">
        <w:rPr>
          <w:i/>
        </w:rPr>
        <w:t>Quelle est la cathode, quelle est l’anode ?</w:t>
      </w:r>
      <w:r>
        <w:t xml:space="preserve"> La cathode est l’électrode où à lieu le gain d’électron (donc l’oxydation). Inversement, il y a perte d’électron à l’anode (donc réduction). Quand plusieurs couples redox entrent en jeu, leur potentiel standard détermine la réaction qui aura lieu. </w:t>
      </w:r>
      <w:r w:rsidRPr="00A725EC">
        <w:rPr>
          <w:i/>
          <w:color w:val="003399"/>
        </w:rPr>
        <w:t xml:space="preserve">Voir les détails sur le site pour la réaction observée dans cette expérience (eau salée, conditions différentes que pour l’eau seule). </w:t>
      </w:r>
    </w:p>
    <w:p w:rsidR="00735D70" w:rsidRDefault="00735D70" w:rsidP="00735D70">
      <w:pPr>
        <w:widowControl/>
        <w:suppressAutoHyphens w:val="0"/>
        <w:rPr>
          <w:rFonts w:asciiTheme="minorHAnsi" w:hAnsiTheme="minorHAnsi" w:cs="Optima"/>
        </w:rPr>
      </w:pPr>
      <w:r>
        <w:rPr>
          <w:rFonts w:asciiTheme="minorHAnsi" w:hAnsiTheme="minorHAnsi" w:cs="Optima"/>
        </w:rPr>
        <w:br w:type="page"/>
      </w:r>
    </w:p>
    <w:p w:rsidR="00735D70" w:rsidRDefault="00735D70" w:rsidP="00735D70">
      <w:pPr>
        <w:pStyle w:val="Doc-titre2"/>
      </w:pPr>
      <w:bookmarkStart w:id="24" w:name="_Toc336593326"/>
      <w:r>
        <w:lastRenderedPageBreak/>
        <w:t>Raisonner en termes d’énergie</w:t>
      </w:r>
      <w:bookmarkEnd w:id="24"/>
    </w:p>
    <w:p w:rsidR="00735D70" w:rsidRDefault="00735D70" w:rsidP="00735D70">
      <w:pPr>
        <w:pStyle w:val="Doc-corpsdetexte"/>
      </w:pPr>
      <w:r>
        <w:t>Dans cette section, nous allons voir que pour bien des objets, il est possible de raisonner en pensant à la chaîne de transformations énergétique qui a lieu. Il devient alors intéressant de se poser la question de savoir quelle est la forme d’énergie à la source du fonctionnement de l’objet, et que devient cette forme d’énergie.</w:t>
      </w:r>
    </w:p>
    <w:p w:rsidR="00735D70" w:rsidRDefault="00735D70" w:rsidP="00735D70">
      <w:pPr>
        <w:pStyle w:val="Doc-corpsdetexte"/>
      </w:pPr>
    </w:p>
    <w:p w:rsidR="005972AA" w:rsidRPr="0097107E" w:rsidRDefault="00735D70" w:rsidP="0097107E">
      <w:pPr>
        <w:pStyle w:val="Doc-corpsdetexte"/>
      </w:pPr>
      <w:r>
        <w:t>Le radiomètre de Crookes</w:t>
      </w:r>
    </w:p>
    <w:sectPr w:rsidR="005972AA" w:rsidRPr="0097107E" w:rsidSect="00CA5FCC">
      <w:headerReference w:type="default" r:id="rId26"/>
      <w:endnotePr>
        <w:numFmt w:val="decimal"/>
      </w:endnotePr>
      <w:pgSz w:w="16838" w:h="11906" w:orient="landscape" w:code="9"/>
      <w:pgMar w:top="1134" w:right="1134" w:bottom="567" w:left="1418"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EE0" w:rsidRDefault="00DF1EE0" w:rsidP="00612D2B">
      <w:r>
        <w:separator/>
      </w:r>
    </w:p>
  </w:endnote>
  <w:endnote w:type="continuationSeparator" w:id="1">
    <w:p w:rsidR="00DF1EE0" w:rsidRDefault="00DF1EE0" w:rsidP="00612D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tima">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lonna MT">
    <w:panose1 w:val="04020805060202030203"/>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EE0" w:rsidRDefault="00DF1EE0" w:rsidP="00612D2B">
      <w:r>
        <w:separator/>
      </w:r>
    </w:p>
  </w:footnote>
  <w:footnote w:type="continuationSeparator" w:id="1">
    <w:p w:rsidR="00DF1EE0" w:rsidRDefault="00DF1EE0" w:rsidP="00612D2B">
      <w:r>
        <w:continuationSeparator/>
      </w:r>
    </w:p>
  </w:footnote>
  <w:footnote w:id="2">
    <w:p w:rsidR="009811EF" w:rsidRPr="00937779" w:rsidRDefault="009811EF" w:rsidP="00937779">
      <w:pPr>
        <w:pStyle w:val="Notedebasdepage"/>
        <w:tabs>
          <w:tab w:val="clear" w:pos="709"/>
          <w:tab w:val="left" w:pos="284"/>
        </w:tabs>
        <w:ind w:left="0" w:firstLine="0"/>
        <w:rPr>
          <w:rStyle w:val="Doc-basdepageCar"/>
        </w:rPr>
      </w:pPr>
      <w:r w:rsidRPr="00883AB4">
        <w:rPr>
          <w:rStyle w:val="Appelnotedebasdep"/>
          <w:rFonts w:ascii="Cambria" w:hAnsi="Cambria"/>
          <w:sz w:val="22"/>
          <w:szCs w:val="22"/>
        </w:rPr>
        <w:footnoteRef/>
      </w:r>
      <w:r>
        <w:rPr>
          <w:rFonts w:ascii="Cambria" w:hAnsi="Cambria"/>
          <w:sz w:val="22"/>
          <w:szCs w:val="22"/>
        </w:rPr>
        <w:tab/>
      </w:r>
      <w:r w:rsidRPr="00937779">
        <w:rPr>
          <w:rStyle w:val="Doc-basdepageCar"/>
        </w:rPr>
        <w:t>Plein Sud spécial recherche 2008/2009</w:t>
      </w:r>
      <w:r>
        <w:rPr>
          <w:rStyle w:val="Doc-basdepageCar"/>
        </w:rPr>
        <w:t xml:space="preserve">. Dossier </w:t>
      </w:r>
      <w:r w:rsidRPr="00CD5E3F">
        <w:rPr>
          <w:rStyle w:val="Doc-basdepageCar"/>
          <w:i/>
        </w:rPr>
        <w:t>Techniques de demain</w:t>
      </w:r>
    </w:p>
  </w:footnote>
  <w:footnote w:id="3">
    <w:p w:rsidR="009811EF" w:rsidRPr="000B2C18" w:rsidRDefault="009811EF" w:rsidP="00937779">
      <w:pPr>
        <w:pStyle w:val="Doc-basdepage"/>
      </w:pPr>
      <w:r w:rsidRPr="000B2C18">
        <w:rPr>
          <w:rStyle w:val="Appelnotedebasdep"/>
        </w:rPr>
        <w:footnoteRef/>
      </w:r>
      <w:r w:rsidRPr="000B2C18">
        <w:t xml:space="preserve"> </w:t>
      </w:r>
      <w:r>
        <w:tab/>
      </w:r>
      <w:r w:rsidRPr="00937779">
        <w:t xml:space="preserve">Site du CEA : animation </w:t>
      </w:r>
      <w:r>
        <w:t>P</w:t>
      </w:r>
      <w:r w:rsidRPr="00937779">
        <w:t>rincipe de la pile à combustible</w:t>
      </w:r>
    </w:p>
  </w:footnote>
  <w:footnote w:id="4">
    <w:p w:rsidR="009811EF" w:rsidRPr="000B2C18" w:rsidRDefault="009811EF" w:rsidP="00937779">
      <w:pPr>
        <w:pStyle w:val="Doc-basdepage"/>
      </w:pPr>
      <w:r w:rsidRPr="000B2C18">
        <w:rPr>
          <w:rStyle w:val="Appelnotedebasdep"/>
        </w:rPr>
        <w:footnoteRef/>
      </w:r>
      <w:r w:rsidRPr="000B2C18">
        <w:t xml:space="preserve"> </w:t>
      </w:r>
      <w:r>
        <w:tab/>
      </w:r>
      <w:r w:rsidRPr="00A44B6C">
        <w:rPr>
          <w:i/>
        </w:rPr>
        <w:t>Les premiers tours de roue de la voiture à hydrogène</w:t>
      </w:r>
      <w:r>
        <w:t xml:space="preserve">, </w:t>
      </w:r>
      <w:r w:rsidRPr="000B2C18">
        <w:t>Le Parisien</w:t>
      </w:r>
      <w:r>
        <w:t>. 5 octobre 2011</w:t>
      </w:r>
    </w:p>
  </w:footnote>
  <w:footnote w:id="5">
    <w:p w:rsidR="009811EF" w:rsidRPr="003014B6" w:rsidRDefault="009811EF" w:rsidP="00937779">
      <w:pPr>
        <w:pStyle w:val="Doc-basdepage"/>
      </w:pPr>
      <w:r>
        <w:rPr>
          <w:rStyle w:val="Appelnotedebasdep"/>
        </w:rPr>
        <w:footnoteRef/>
      </w:r>
      <w:r w:rsidRPr="003014B6">
        <w:t xml:space="preserve"> </w:t>
      </w:r>
      <w:r>
        <w:tab/>
        <w:t xml:space="preserve">Site </w:t>
      </w:r>
      <w:r w:rsidRPr="003014B6">
        <w:t>Eduscol</w:t>
      </w:r>
      <w:r>
        <w:t xml:space="preserve">. </w:t>
      </w:r>
      <w:r w:rsidRPr="007B3810">
        <w:rPr>
          <w:i/>
        </w:rPr>
        <w:t>Les combustibles fossiles : formation, composition et réserves</w:t>
      </w:r>
    </w:p>
  </w:footnote>
  <w:footnote w:id="6">
    <w:p w:rsidR="009811EF" w:rsidRPr="003014B6" w:rsidRDefault="009811EF" w:rsidP="00937779">
      <w:pPr>
        <w:pStyle w:val="Doc-basdepage"/>
      </w:pPr>
      <w:r>
        <w:rPr>
          <w:rStyle w:val="Appelnotedebasdep"/>
        </w:rPr>
        <w:footnoteRef/>
      </w:r>
      <w:r w:rsidRPr="003014B6">
        <w:t xml:space="preserve"> </w:t>
      </w:r>
      <w:r>
        <w:tab/>
        <w:t>Rapport d’information de l’</w:t>
      </w:r>
      <w:r w:rsidRPr="003014B6">
        <w:t>A</w:t>
      </w:r>
      <w:r>
        <w:t xml:space="preserve">ssemblée </w:t>
      </w:r>
      <w:r w:rsidRPr="003014B6">
        <w:t>N</w:t>
      </w:r>
      <w:r>
        <w:t>ationale sur les gaz et huile de schiste. 8 juin 2011</w:t>
      </w:r>
    </w:p>
  </w:footnote>
  <w:footnote w:id="7">
    <w:p w:rsidR="009811EF" w:rsidRPr="003014B6" w:rsidRDefault="009811EF" w:rsidP="00937779">
      <w:pPr>
        <w:pStyle w:val="Doc-basdepage"/>
      </w:pPr>
      <w:r>
        <w:rPr>
          <w:rStyle w:val="Appelnotedebasdep"/>
        </w:rPr>
        <w:footnoteRef/>
      </w:r>
      <w:r>
        <w:t xml:space="preserve"> </w:t>
      </w:r>
      <w:r>
        <w:tab/>
        <w:t xml:space="preserve">IFPEN. Panorama 2012. </w:t>
      </w:r>
      <w:r w:rsidRPr="00D46278">
        <w:rPr>
          <w:i/>
        </w:rPr>
        <w:t>Les hydrocarbures non conventionnels : évolution ou révolution ?</w:t>
      </w:r>
    </w:p>
  </w:footnote>
  <w:footnote w:id="8">
    <w:p w:rsidR="009811EF" w:rsidRPr="003014B6" w:rsidRDefault="009811EF" w:rsidP="003C1FCC">
      <w:pPr>
        <w:pStyle w:val="Doc-basdepage"/>
      </w:pPr>
      <w:r>
        <w:rPr>
          <w:rStyle w:val="Appelnotedebasdep"/>
        </w:rPr>
        <w:footnoteRef/>
      </w:r>
      <w:r>
        <w:tab/>
      </w:r>
      <w:r w:rsidRPr="00642082">
        <w:rPr>
          <w:i/>
        </w:rPr>
        <w:t>Gasland</w:t>
      </w:r>
      <w:r>
        <w:t>, un film de Josh Fox. 2010</w:t>
      </w:r>
    </w:p>
  </w:footnote>
  <w:footnote w:id="9">
    <w:p w:rsidR="009811EF" w:rsidRDefault="009811EF" w:rsidP="003C1FCC">
      <w:pPr>
        <w:pStyle w:val="Doc-basdepage"/>
      </w:pPr>
      <w:r>
        <w:rPr>
          <w:rStyle w:val="Appelnotedebasdep"/>
        </w:rPr>
        <w:footnoteRef/>
      </w:r>
      <w:r>
        <w:tab/>
        <w:t>Site Observ’ER</w:t>
      </w:r>
    </w:p>
  </w:footnote>
  <w:footnote w:id="10">
    <w:p w:rsidR="009811EF" w:rsidRDefault="009811EF" w:rsidP="003C1FCC">
      <w:pPr>
        <w:pStyle w:val="Doc-basdepage"/>
      </w:pPr>
      <w:r>
        <w:rPr>
          <w:rStyle w:val="Appelnotedebasdep"/>
        </w:rPr>
        <w:footnoteRef/>
      </w:r>
      <w:r>
        <w:tab/>
        <w:t>Site Planète-énergie</w:t>
      </w:r>
    </w:p>
  </w:footnote>
  <w:footnote w:id="11">
    <w:p w:rsidR="009811EF" w:rsidRDefault="009811EF" w:rsidP="00710927">
      <w:pPr>
        <w:pStyle w:val="Doc-basdepage"/>
      </w:pPr>
      <w:r>
        <w:rPr>
          <w:rStyle w:val="Appelnotedebasdep"/>
        </w:rPr>
        <w:footnoteRef/>
      </w:r>
      <w:r>
        <w:tab/>
        <w:t xml:space="preserve">Organisation Mondiale de la Santé. </w:t>
      </w:r>
      <w:r w:rsidRPr="00710927">
        <w:rPr>
          <w:i/>
          <w:lang w:val="en-US"/>
        </w:rPr>
        <w:t>Guidelines for drinking water quality</w:t>
      </w:r>
      <w:r w:rsidRPr="00710927">
        <w:rPr>
          <w:lang w:val="en-US"/>
        </w:rPr>
        <w:t>.</w:t>
      </w:r>
      <w:r>
        <w:rPr>
          <w:lang w:val="en-US"/>
        </w:rPr>
        <w:t xml:space="preserve"> </w:t>
      </w:r>
      <w:r w:rsidRPr="00CD5E3F">
        <w:t>2011</w:t>
      </w:r>
    </w:p>
  </w:footnote>
  <w:footnote w:id="12">
    <w:p w:rsidR="009811EF" w:rsidRDefault="009811EF" w:rsidP="00CD5E3F">
      <w:pPr>
        <w:pStyle w:val="Doc-basdepage"/>
      </w:pPr>
      <w:r>
        <w:rPr>
          <w:rStyle w:val="Appelnotedebasdep"/>
        </w:rPr>
        <w:footnoteRef/>
      </w:r>
      <w:r>
        <w:tab/>
        <w:t xml:space="preserve">Paris-Sud Magazine n°82. Dossier </w:t>
      </w:r>
      <w:r w:rsidRPr="00CD5E3F">
        <w:rPr>
          <w:i/>
        </w:rPr>
        <w:t>Quelles énergies pour demain ?</w:t>
      </w:r>
      <w:r>
        <w:t xml:space="preserve"> Eté 2012</w:t>
      </w:r>
    </w:p>
  </w:footnote>
  <w:footnote w:id="13">
    <w:p w:rsidR="009811EF" w:rsidRDefault="009811EF" w:rsidP="00EC4C3E">
      <w:pPr>
        <w:pStyle w:val="Doc-basdepage"/>
      </w:pPr>
      <w:r>
        <w:rPr>
          <w:rStyle w:val="Appelnotedebasdep"/>
        </w:rPr>
        <w:footnoteRef/>
      </w:r>
      <w:r>
        <w:tab/>
        <w:t>Site Pompe-à-chaleur-info</w:t>
      </w:r>
    </w:p>
  </w:footnote>
  <w:footnote w:id="14">
    <w:p w:rsidR="009811EF" w:rsidRPr="008057F0" w:rsidRDefault="009811EF" w:rsidP="00EC4C3E">
      <w:pPr>
        <w:pStyle w:val="Doc-basdepage"/>
        <w:rPr>
          <w:vertAlign w:val="superscript"/>
        </w:rPr>
      </w:pPr>
      <w:r w:rsidRPr="00EC4C3E">
        <w:rPr>
          <w:vertAlign w:val="superscript"/>
        </w:rPr>
        <w:footnoteRef/>
      </w:r>
      <w:r>
        <w:tab/>
        <w:t xml:space="preserve">Les dossiers de La Recherche </w:t>
      </w:r>
      <w:r w:rsidRPr="0066520C">
        <w:rPr>
          <w:i/>
        </w:rPr>
        <w:t>Les énergies de demain</w:t>
      </w:r>
      <w:r>
        <w:t>. Mars 2012</w:t>
      </w:r>
    </w:p>
  </w:footnote>
  <w:footnote w:id="15">
    <w:p w:rsidR="009811EF" w:rsidRDefault="009811EF" w:rsidP="008057F0">
      <w:pPr>
        <w:pStyle w:val="Doc-basdepage"/>
      </w:pPr>
      <w:r w:rsidRPr="008057F0">
        <w:rPr>
          <w:vertAlign w:val="superscript"/>
        </w:rPr>
        <w:footnoteRef/>
      </w:r>
      <w:r>
        <w:tab/>
        <w:t>Site du CEA</w:t>
      </w:r>
    </w:p>
  </w:footnote>
  <w:footnote w:id="16">
    <w:p w:rsidR="009811EF" w:rsidRDefault="009811EF" w:rsidP="008057F0">
      <w:pPr>
        <w:pStyle w:val="Doc-basdepage"/>
      </w:pPr>
      <w:r w:rsidRPr="008057F0">
        <w:rPr>
          <w:vertAlign w:val="superscript"/>
        </w:rPr>
        <w:footnoteRef/>
      </w:r>
      <w:r>
        <w:tab/>
        <w:t>Alessandra B</w:t>
      </w:r>
      <w:r>
        <w:rPr>
          <w:smallCaps/>
        </w:rPr>
        <w:t>enuzzi</w:t>
      </w:r>
      <w:r>
        <w:t>-M</w:t>
      </w:r>
      <w:r>
        <w:rPr>
          <w:smallCaps/>
        </w:rPr>
        <w:t>ounaix</w:t>
      </w:r>
      <w:r>
        <w:t xml:space="preserve">, </w:t>
      </w:r>
      <w:r w:rsidRPr="00441B3B">
        <w:rPr>
          <w:i/>
        </w:rPr>
        <w:t>La fusion nucléaire</w:t>
      </w:r>
      <w:r>
        <w:t>. Ed. Belin / Pour la science, Paris. 2008</w:t>
      </w:r>
    </w:p>
  </w:footnote>
  <w:footnote w:id="17">
    <w:p w:rsidR="009811EF" w:rsidRDefault="009811EF" w:rsidP="0011357D">
      <w:pPr>
        <w:pStyle w:val="Doc-basdepage"/>
      </w:pPr>
      <w:r>
        <w:rPr>
          <w:rStyle w:val="Appelnotedebasdep"/>
        </w:rPr>
        <w:footnoteRef/>
      </w:r>
      <w:r>
        <w:tab/>
        <w:t xml:space="preserve">IFPEN-CEA. Panorama 2010. </w:t>
      </w:r>
      <w:r w:rsidRPr="0011357D">
        <w:rPr>
          <w:i/>
        </w:rPr>
        <w:t>Quelles ressources en combustibles nucléaires ?</w:t>
      </w:r>
    </w:p>
  </w:footnote>
  <w:footnote w:id="18">
    <w:p w:rsidR="009811EF" w:rsidRPr="00686C86" w:rsidRDefault="009811EF">
      <w:pPr>
        <w:pStyle w:val="Notedebasdepage"/>
      </w:pPr>
      <w:r w:rsidRPr="0022602E">
        <w:rPr>
          <w:rStyle w:val="Appelnotedebasdep"/>
          <w:rFonts w:asciiTheme="majorHAnsi" w:hAnsiTheme="majorHAnsi"/>
          <w:sz w:val="22"/>
          <w:szCs w:val="22"/>
        </w:rPr>
        <w:footnoteRef/>
      </w:r>
      <w:r w:rsidRPr="0022602E">
        <w:rPr>
          <w:rStyle w:val="Doc-basdepageCar"/>
        </w:rPr>
        <w:tab/>
        <w:t xml:space="preserve"> BP. </w:t>
      </w:r>
      <w:r w:rsidRPr="0022602E">
        <w:rPr>
          <w:rStyle w:val="Doc-basdepageCar"/>
          <w:i/>
        </w:rPr>
        <w:t>Statistical Review of World Energy</w:t>
      </w:r>
      <w:r w:rsidRPr="00686C86">
        <w:rPr>
          <w:rStyle w:val="Doc-basdepageCar"/>
        </w:rPr>
        <w:t>. Juin 2012</w:t>
      </w:r>
    </w:p>
  </w:footnote>
  <w:footnote w:id="19">
    <w:p w:rsidR="009811EF" w:rsidRDefault="009811EF" w:rsidP="00C930BC">
      <w:pPr>
        <w:pStyle w:val="Doc-basdepage"/>
      </w:pPr>
      <w:r>
        <w:rPr>
          <w:rStyle w:val="Appelnotedebasdep"/>
        </w:rPr>
        <w:footnoteRef/>
      </w:r>
      <w:r>
        <w:t xml:space="preserve"> </w:t>
      </w:r>
      <w:r>
        <w:tab/>
        <w:t>Site Planète énergie. Les causes du réchauffement climatique</w:t>
      </w:r>
    </w:p>
  </w:footnote>
  <w:footnote w:id="20">
    <w:p w:rsidR="009811EF" w:rsidRPr="00176D17" w:rsidRDefault="009811EF" w:rsidP="00C930BC">
      <w:pPr>
        <w:pStyle w:val="Doc-basdepage"/>
      </w:pPr>
      <w:r>
        <w:rPr>
          <w:rStyle w:val="Appelnotedebasdep"/>
        </w:rPr>
        <w:footnoteRef/>
      </w:r>
      <w:r w:rsidRPr="00176D17">
        <w:t xml:space="preserve"> </w:t>
      </w:r>
      <w:r>
        <w:tab/>
        <w:t xml:space="preserve">Rapport du groupe de travail I du </w:t>
      </w:r>
      <w:r w:rsidRPr="00176D17">
        <w:t>G</w:t>
      </w:r>
      <w:r>
        <w:t>roupe d’experts Intergouvernemental sur l’évolution du climat. 2007</w:t>
      </w:r>
    </w:p>
  </w:footnote>
  <w:footnote w:id="21">
    <w:p w:rsidR="009811EF" w:rsidRPr="00C930BC" w:rsidRDefault="009811EF" w:rsidP="00C930BC">
      <w:pPr>
        <w:pStyle w:val="Doc-basdepage"/>
        <w:rPr>
          <w:rFonts w:asciiTheme="majorHAnsi" w:hAnsiTheme="majorHAnsi"/>
        </w:rPr>
      </w:pPr>
      <w:r w:rsidRPr="00C930BC">
        <w:rPr>
          <w:rStyle w:val="Caractresdenotedebasdepage"/>
          <w:rFonts w:asciiTheme="majorHAnsi" w:hAnsiTheme="majorHAnsi"/>
        </w:rPr>
        <w:footnoteRef/>
      </w:r>
      <w:r>
        <w:rPr>
          <w:rFonts w:asciiTheme="majorHAnsi" w:hAnsiTheme="majorHAnsi"/>
        </w:rPr>
        <w:tab/>
      </w:r>
      <w:r w:rsidRPr="00C930BC">
        <w:rPr>
          <w:rFonts w:asciiTheme="majorHAnsi" w:hAnsiTheme="majorHAnsi"/>
        </w:rPr>
        <w:t>M</w:t>
      </w:r>
      <w:r w:rsidR="00B17088">
        <w:rPr>
          <w:rFonts w:asciiTheme="majorHAnsi" w:hAnsiTheme="majorHAnsi"/>
        </w:rPr>
        <w:t xml:space="preserve">inistère de l’Ecologie, du Développement Durable et de l’Energie. </w:t>
      </w:r>
      <w:r w:rsidR="00B17088" w:rsidRPr="00EB1B80">
        <w:rPr>
          <w:rFonts w:asciiTheme="majorHAnsi" w:hAnsiTheme="majorHAnsi"/>
          <w:i/>
        </w:rPr>
        <w:t>Guide de l’étude d’impact sur l’environnement des parcs éoliens</w:t>
      </w:r>
      <w:r w:rsidR="00B17088">
        <w:rPr>
          <w:rFonts w:asciiTheme="majorHAnsi" w:hAnsiTheme="majorHAnsi"/>
        </w:rPr>
        <w:t>. 2010</w:t>
      </w:r>
    </w:p>
  </w:footnote>
  <w:footnote w:id="22">
    <w:p w:rsidR="009811EF" w:rsidRPr="00C930BC" w:rsidRDefault="009811EF" w:rsidP="00C930BC">
      <w:pPr>
        <w:pStyle w:val="Doc-basdepage"/>
        <w:rPr>
          <w:rFonts w:asciiTheme="majorHAnsi" w:hAnsiTheme="majorHAnsi"/>
        </w:rPr>
      </w:pPr>
      <w:r w:rsidRPr="00C930BC">
        <w:rPr>
          <w:rStyle w:val="Caractresdenotedebasdepage"/>
          <w:rFonts w:asciiTheme="majorHAnsi" w:hAnsiTheme="majorHAnsi"/>
        </w:rPr>
        <w:footnoteRef/>
      </w:r>
      <w:r>
        <w:rPr>
          <w:rFonts w:asciiTheme="majorHAnsi" w:hAnsiTheme="majorHAnsi"/>
        </w:rPr>
        <w:tab/>
      </w:r>
      <w:r w:rsidR="00EB1B80" w:rsidRPr="00EB1B80">
        <w:rPr>
          <w:rFonts w:asciiTheme="majorHAnsi" w:hAnsiTheme="majorHAnsi"/>
          <w:i/>
        </w:rPr>
        <w:t>Le colossal barrage des Trois-gorges inquiète la Chine</w:t>
      </w:r>
      <w:r w:rsidR="00EB1B80">
        <w:rPr>
          <w:rFonts w:asciiTheme="majorHAnsi" w:hAnsiTheme="majorHAnsi"/>
        </w:rPr>
        <w:t xml:space="preserve">. </w:t>
      </w:r>
      <w:r w:rsidRPr="00C930BC">
        <w:rPr>
          <w:rFonts w:asciiTheme="majorHAnsi" w:hAnsiTheme="majorHAnsi"/>
        </w:rPr>
        <w:t>Le Monde</w:t>
      </w:r>
      <w:r w:rsidR="00EB1B80">
        <w:rPr>
          <w:rFonts w:asciiTheme="majorHAnsi" w:hAnsiTheme="majorHAnsi"/>
        </w:rPr>
        <w:t>. 24 mai 2011</w:t>
      </w:r>
    </w:p>
  </w:footnote>
  <w:footnote w:id="23">
    <w:p w:rsidR="009811EF" w:rsidRPr="0011357D" w:rsidRDefault="009811EF" w:rsidP="00C930BC">
      <w:pPr>
        <w:pStyle w:val="Doc-basdepage"/>
      </w:pPr>
      <w:r>
        <w:rPr>
          <w:rStyle w:val="Appelnotedebasdep"/>
        </w:rPr>
        <w:footnoteRef/>
      </w:r>
      <w:r w:rsidRPr="008057F0">
        <w:t xml:space="preserve"> </w:t>
      </w:r>
      <w:r w:rsidR="00C0396D">
        <w:tab/>
      </w:r>
      <w:r w:rsidR="00E6384E">
        <w:t xml:space="preserve">International Energy Agency. </w:t>
      </w:r>
      <w:r w:rsidR="00E6384E" w:rsidRPr="00EB1B80">
        <w:rPr>
          <w:i/>
        </w:rPr>
        <w:t>World Energy Outlook</w:t>
      </w:r>
      <w:r w:rsidR="00E6384E">
        <w:t>. 2010</w:t>
      </w:r>
    </w:p>
  </w:footnote>
  <w:footnote w:id="24">
    <w:p w:rsidR="009811EF" w:rsidRPr="0011357D" w:rsidRDefault="009811EF" w:rsidP="00C930BC">
      <w:pPr>
        <w:pStyle w:val="Doc-basdepage"/>
      </w:pPr>
      <w:r>
        <w:rPr>
          <w:rStyle w:val="Appelnotedebasdep"/>
        </w:rPr>
        <w:footnoteRef/>
      </w:r>
      <w:r w:rsidRPr="0011357D">
        <w:t xml:space="preserve"> </w:t>
      </w:r>
      <w:r w:rsidR="00C0396D">
        <w:tab/>
      </w:r>
      <w:r w:rsidRPr="0011357D">
        <w:t>P</w:t>
      </w:r>
      <w:r w:rsidR="006F180D">
        <w:t xml:space="preserve">rogramme des </w:t>
      </w:r>
      <w:r w:rsidRPr="0011357D">
        <w:t>N</w:t>
      </w:r>
      <w:r w:rsidR="006F180D">
        <w:t xml:space="preserve">ations </w:t>
      </w:r>
      <w:r w:rsidRPr="0011357D">
        <w:t>U</w:t>
      </w:r>
      <w:r w:rsidR="006F180D">
        <w:t xml:space="preserve">nies pour le </w:t>
      </w:r>
      <w:r w:rsidRPr="0011357D">
        <w:t>D</w:t>
      </w:r>
      <w:r w:rsidR="006F180D">
        <w:t xml:space="preserve">éveloppement. </w:t>
      </w:r>
      <w:r w:rsidR="006F180D" w:rsidRPr="00EB1B80">
        <w:rPr>
          <w:i/>
        </w:rPr>
        <w:t>Rapport sur le développement humain</w:t>
      </w:r>
      <w:r w:rsidR="006F180D">
        <w:t>.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EF" w:rsidRPr="00C024A7" w:rsidRDefault="009811EF" w:rsidP="001F484E">
    <w:pPr>
      <w:pStyle w:val="Doc-Entte"/>
      <w:pBdr>
        <w:bottom w:val="single" w:sz="4" w:space="1" w:color="003300"/>
      </w:pBdr>
      <w:shd w:val="clear" w:color="auto" w:fill="D6E3BC" w:themeFill="accent3" w:themeFillTint="66"/>
    </w:pPr>
    <w:r w:rsidRPr="00C024A7">
      <w:t>L’énergie de A à Z – Livret d’accompagnement</w:t>
    </w:r>
    <w:r w:rsidRPr="00C024A7">
      <w:ptab w:relativeTo="margin" w:alignment="center" w:leader="none"/>
    </w:r>
    <w:r w:rsidRPr="001F484E">
      <w:rPr>
        <w:b/>
        <w:color w:val="003399"/>
        <w:sz w:val="28"/>
      </w:rPr>
      <w:t>Contenu du livret</w:t>
    </w:r>
    <w:r w:rsidRPr="00C024A7">
      <w:ptab w:relativeTo="margin" w:alignment="right" w:leader="none"/>
    </w:r>
    <w:r>
      <w:tab/>
    </w:r>
    <w:fldSimple w:instr=" PAGE   \* MERGEFORMAT ">
      <w:r w:rsidR="00CA5FCC">
        <w:rPr>
          <w:noProof/>
        </w:rPr>
        <w:t>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EF" w:rsidRPr="00150DE7" w:rsidRDefault="009811EF" w:rsidP="00150DE7">
    <w:pPr>
      <w:pStyle w:val="Doc-Entte"/>
      <w:pBdr>
        <w:bottom w:val="single" w:sz="4" w:space="1" w:color="003300"/>
      </w:pBdr>
      <w:shd w:val="clear" w:color="auto" w:fill="D6E3BC" w:themeFill="accent3" w:themeFillTint="66"/>
    </w:pPr>
    <w:r w:rsidRPr="00150DE7">
      <w:t>L’énergie de A à Z – Livret d’accompagnement</w:t>
    </w:r>
    <w:r w:rsidRPr="00150DE7">
      <w:ptab w:relativeTo="margin" w:alignment="center" w:leader="none"/>
    </w:r>
    <w:r w:rsidRPr="00150DE7">
      <w:rPr>
        <w:b/>
        <w:color w:val="003399"/>
        <w:sz w:val="28"/>
      </w:rPr>
      <w:t>Infor</w:t>
    </w:r>
    <w:r w:rsidRPr="005A4D9E">
      <w:rPr>
        <w:b/>
        <w:color w:val="003399"/>
        <w:sz w:val="28"/>
      </w:rPr>
      <w:t>mation</w:t>
    </w:r>
    <w:r w:rsidRPr="00150DE7">
      <w:rPr>
        <w:b/>
        <w:color w:val="003399"/>
        <w:sz w:val="28"/>
      </w:rPr>
      <w:t>s Complémentaires</w:t>
    </w:r>
    <w:r w:rsidRPr="00150DE7">
      <w:ptab w:relativeTo="margin" w:alignment="right" w:leader="none"/>
    </w:r>
    <w:r w:rsidRPr="00150DE7">
      <w:tab/>
    </w:r>
    <w:fldSimple w:instr=" PAGE   \* MERGEFORMAT ">
      <w:r w:rsidR="00CA5FCC">
        <w:rPr>
          <w:noProof/>
        </w:rPr>
        <w:t>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EF" w:rsidRPr="00150DE7" w:rsidRDefault="009811EF" w:rsidP="00150DE7">
    <w:pPr>
      <w:pStyle w:val="Doc-Entte"/>
      <w:pBdr>
        <w:bottom w:val="single" w:sz="4" w:space="1" w:color="003300"/>
      </w:pBdr>
      <w:shd w:val="clear" w:color="auto" w:fill="D6E3BC" w:themeFill="accent3" w:themeFillTint="66"/>
    </w:pPr>
    <w:r w:rsidRPr="00150DE7">
      <w:t>L’énergie de A à Z – Livret d’accompagnement</w:t>
    </w:r>
    <w:r w:rsidRPr="00150DE7">
      <w:ptab w:relativeTo="margin" w:alignment="center" w:leader="none"/>
    </w:r>
    <w:r>
      <w:rPr>
        <w:b/>
        <w:color w:val="003399"/>
        <w:sz w:val="28"/>
      </w:rPr>
      <w:t>Cô</w:t>
    </w:r>
    <w:r w:rsidRPr="009E5FBC">
      <w:rPr>
        <w:b/>
        <w:color w:val="003399"/>
        <w:sz w:val="28"/>
      </w:rPr>
      <w:t xml:space="preserve">té </w:t>
    </w:r>
    <w:r>
      <w:rPr>
        <w:b/>
        <w:color w:val="003399"/>
        <w:sz w:val="28"/>
      </w:rPr>
      <w:t>Pratique</w:t>
    </w:r>
    <w:r w:rsidRPr="00150DE7">
      <w:ptab w:relativeTo="margin" w:alignment="right" w:leader="none"/>
    </w:r>
    <w:r w:rsidRPr="00150DE7">
      <w:tab/>
    </w:r>
    <w:r w:rsidR="00A454F2">
      <w:fldChar w:fldCharType="begin"/>
    </w:r>
    <w:r w:rsidR="001C4F0D">
      <w:instrText xml:space="preserve"> PAGE   \* MERGEFORMAT </w:instrText>
    </w:r>
    <w:r w:rsidR="00A454F2">
      <w:fldChar w:fldCharType="separate"/>
    </w:r>
    <w:r w:rsidR="00CA5FCC">
      <w:rPr>
        <w:noProof/>
      </w:rPr>
      <w:t>24</w:t>
    </w:r>
    <w:r w:rsidR="00A454F2">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22817"/>
    <w:multiLevelType w:val="multilevel"/>
    <w:tmpl w:val="660EBA3E"/>
    <w:lvl w:ilvl="0">
      <w:start w:val="1"/>
      <w:numFmt w:val="upperRoman"/>
      <w:lvlText w:val="%1."/>
      <w:lvlJc w:val="left"/>
      <w:pPr>
        <w:ind w:left="0" w:firstLine="0"/>
      </w:pPr>
      <w:rPr>
        <w:rFonts w:hint="default"/>
      </w:rPr>
    </w:lvl>
    <w:lvl w:ilvl="1">
      <w:start w:val="1"/>
      <w:numFmt w:val="decimal"/>
      <w:lvlText w:val="%2."/>
      <w:lvlJc w:val="left"/>
      <w:pPr>
        <w:tabs>
          <w:tab w:val="num" w:pos="567"/>
        </w:tabs>
        <w:ind w:left="340" w:firstLine="0"/>
      </w:pPr>
      <w:rPr>
        <w:rFonts w:hint="default"/>
      </w:rPr>
    </w:lvl>
    <w:lvl w:ilvl="2">
      <w:start w:val="1"/>
      <w:numFmt w:val="lowerRoman"/>
      <w:lvlText w:val="%3."/>
      <w:lvlJc w:val="left"/>
      <w:pPr>
        <w:tabs>
          <w:tab w:val="num" w:pos="737"/>
        </w:tabs>
        <w:ind w:left="68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6A32340"/>
    <w:multiLevelType w:val="multilevel"/>
    <w:tmpl w:val="0CDEE562"/>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AF325C3"/>
    <w:multiLevelType w:val="multilevel"/>
    <w:tmpl w:val="3D9A9BCA"/>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F5E2376"/>
    <w:multiLevelType w:val="hybridMultilevel"/>
    <w:tmpl w:val="61BCD388"/>
    <w:lvl w:ilvl="0" w:tplc="DC5C37BE">
      <w:start w:val="1"/>
      <w:numFmt w:val="bullet"/>
      <w:lvlText w:val="•"/>
      <w:lvlJc w:val="left"/>
      <w:pPr>
        <w:ind w:left="405"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3B0A19"/>
    <w:multiLevelType w:val="hybridMultilevel"/>
    <w:tmpl w:val="4A088A18"/>
    <w:lvl w:ilvl="0" w:tplc="DC5C37B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E55D38"/>
    <w:multiLevelType w:val="multilevel"/>
    <w:tmpl w:val="F4A06248"/>
    <w:lvl w:ilvl="0">
      <w:start w:val="1"/>
      <w:numFmt w:val="bullet"/>
      <w:lvlText w:val=""/>
      <w:lvlJc w:val="left"/>
      <w:pPr>
        <w:ind w:left="340" w:hanging="340"/>
      </w:pPr>
      <w:rPr>
        <w:rFonts w:ascii="Symbol" w:hAnsi="Symbol" w:hint="default"/>
        <w:color w:val="auto"/>
      </w:rPr>
    </w:lvl>
    <w:lvl w:ilvl="1">
      <w:start w:val="1"/>
      <w:numFmt w:val="bullet"/>
      <w:lvlText w:val=""/>
      <w:lvlJc w:val="left"/>
      <w:pPr>
        <w:ind w:left="720" w:hanging="38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16F04A4"/>
    <w:multiLevelType w:val="multilevel"/>
    <w:tmpl w:val="F4A06248"/>
    <w:lvl w:ilvl="0">
      <w:start w:val="1"/>
      <w:numFmt w:val="bullet"/>
      <w:lvlText w:val=""/>
      <w:lvlJc w:val="left"/>
      <w:pPr>
        <w:ind w:left="340" w:hanging="340"/>
      </w:pPr>
      <w:rPr>
        <w:rFonts w:ascii="Symbol" w:hAnsi="Symbol" w:hint="default"/>
        <w:color w:val="auto"/>
      </w:rPr>
    </w:lvl>
    <w:lvl w:ilvl="1">
      <w:start w:val="1"/>
      <w:numFmt w:val="bullet"/>
      <w:lvlText w:val=""/>
      <w:lvlJc w:val="left"/>
      <w:pPr>
        <w:ind w:left="720" w:hanging="38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1C012D8"/>
    <w:multiLevelType w:val="multilevel"/>
    <w:tmpl w:val="3D9A9BCA"/>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3D15E43"/>
    <w:multiLevelType w:val="multilevel"/>
    <w:tmpl w:val="D0142794"/>
    <w:lvl w:ilvl="0">
      <w:start w:val="1"/>
      <w:numFmt w:val="upperRoman"/>
      <w:lvlText w:val="%1."/>
      <w:lvlJc w:val="left"/>
      <w:pPr>
        <w:ind w:left="340" w:hanging="340"/>
      </w:pPr>
      <w:rPr>
        <w:rFonts w:hint="default"/>
      </w:rPr>
    </w:lvl>
    <w:lvl w:ilvl="1">
      <w:start w:val="1"/>
      <w:numFmt w:val="decimal"/>
      <w:lvlText w:val="%2."/>
      <w:lvlJc w:val="left"/>
      <w:pPr>
        <w:tabs>
          <w:tab w:val="num" w:pos="4055"/>
        </w:tabs>
        <w:ind w:left="4168"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68A4D3C"/>
    <w:multiLevelType w:val="multilevel"/>
    <w:tmpl w:val="A2F8A156"/>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D6A33B6"/>
    <w:multiLevelType w:val="hybridMultilevel"/>
    <w:tmpl w:val="F8989204"/>
    <w:name w:val="Livret2"/>
    <w:lvl w:ilvl="0" w:tplc="DC5C37BE">
      <w:start w:val="1"/>
      <w:numFmt w:val="bullet"/>
      <w:lvlText w:val="•"/>
      <w:lvlJc w:val="left"/>
      <w:pPr>
        <w:ind w:left="1060" w:hanging="360"/>
      </w:pPr>
      <w:rPr>
        <w:rFonts w:ascii="Calibri" w:hAnsi="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1">
    <w:nsid w:val="50D7168C"/>
    <w:multiLevelType w:val="multilevel"/>
    <w:tmpl w:val="3FD43938"/>
    <w:name w:val="Livret"/>
    <w:lvl w:ilvl="0">
      <w:start w:val="1"/>
      <w:numFmt w:val="upperRoman"/>
      <w:pStyle w:val="Doc-titre2"/>
      <w:suff w:val="space"/>
      <w:lvlText w:val="%1."/>
      <w:lvlJc w:val="left"/>
      <w:pPr>
        <w:ind w:left="0" w:firstLine="0"/>
      </w:pPr>
      <w:rPr>
        <w:rFonts w:ascii="Calibri" w:hAnsi="Calibri" w:hint="default"/>
      </w:rPr>
    </w:lvl>
    <w:lvl w:ilvl="1">
      <w:start w:val="1"/>
      <w:numFmt w:val="decimal"/>
      <w:pStyle w:val="Doc-titre3"/>
      <w:suff w:val="space"/>
      <w:lvlText w:val="%1.%2."/>
      <w:lvlJc w:val="left"/>
      <w:pPr>
        <w:ind w:left="0" w:firstLine="340"/>
      </w:pPr>
      <w:rPr>
        <w:rFonts w:hint="default"/>
      </w:rPr>
    </w:lvl>
    <w:lvl w:ilvl="2">
      <w:start w:val="1"/>
      <w:numFmt w:val="lowerRoman"/>
      <w:pStyle w:val="Doc-titre4"/>
      <w:suff w:val="space"/>
      <w:lvlText w:val="%1.%2.%3."/>
      <w:lvlJc w:val="left"/>
      <w:pPr>
        <w:ind w:left="0" w:firstLine="680"/>
      </w:pPr>
      <w:rPr>
        <w:rFonts w:hint="default"/>
      </w:rPr>
    </w:lvl>
    <w:lvl w:ilvl="3">
      <w:start w:val="1"/>
      <w:numFmt w:val="decimal"/>
      <w:lvlText w:val="(%4)"/>
      <w:lvlJc w:val="left"/>
      <w:pPr>
        <w:ind w:left="1020" w:firstLine="0"/>
      </w:pPr>
      <w:rPr>
        <w:rFonts w:hint="default"/>
      </w:rPr>
    </w:lvl>
    <w:lvl w:ilvl="4">
      <w:start w:val="1"/>
      <w:numFmt w:val="lowerLetter"/>
      <w:lvlText w:val="(%5)"/>
      <w:lvlJc w:val="left"/>
      <w:pPr>
        <w:ind w:left="1360" w:firstLine="0"/>
      </w:pPr>
      <w:rPr>
        <w:rFonts w:hint="default"/>
      </w:rPr>
    </w:lvl>
    <w:lvl w:ilvl="5">
      <w:start w:val="1"/>
      <w:numFmt w:val="lowerRoman"/>
      <w:lvlText w:val="(%6)"/>
      <w:lvlJc w:val="left"/>
      <w:pPr>
        <w:ind w:left="1700" w:firstLine="0"/>
      </w:pPr>
      <w:rPr>
        <w:rFonts w:hint="default"/>
      </w:rPr>
    </w:lvl>
    <w:lvl w:ilvl="6">
      <w:start w:val="1"/>
      <w:numFmt w:val="decimal"/>
      <w:lvlText w:val="%7."/>
      <w:lvlJc w:val="left"/>
      <w:pPr>
        <w:ind w:left="2040" w:firstLine="0"/>
      </w:pPr>
      <w:rPr>
        <w:rFonts w:hint="default"/>
      </w:rPr>
    </w:lvl>
    <w:lvl w:ilvl="7">
      <w:start w:val="1"/>
      <w:numFmt w:val="lowerLetter"/>
      <w:lvlText w:val="%8."/>
      <w:lvlJc w:val="left"/>
      <w:pPr>
        <w:ind w:left="2380" w:firstLine="0"/>
      </w:pPr>
      <w:rPr>
        <w:rFonts w:hint="default"/>
      </w:rPr>
    </w:lvl>
    <w:lvl w:ilvl="8">
      <w:start w:val="1"/>
      <w:numFmt w:val="lowerRoman"/>
      <w:lvlText w:val="%9."/>
      <w:lvlJc w:val="left"/>
      <w:pPr>
        <w:ind w:left="2720" w:firstLine="0"/>
      </w:pPr>
      <w:rPr>
        <w:rFonts w:hint="default"/>
      </w:rPr>
    </w:lvl>
  </w:abstractNum>
  <w:abstractNum w:abstractNumId="12">
    <w:nsid w:val="525C6A45"/>
    <w:multiLevelType w:val="multilevel"/>
    <w:tmpl w:val="ABFEDF6C"/>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49A5C02"/>
    <w:multiLevelType w:val="hybridMultilevel"/>
    <w:tmpl w:val="A23C78DA"/>
    <w:lvl w:ilvl="0" w:tplc="7A905E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85E6566"/>
    <w:multiLevelType w:val="multilevel"/>
    <w:tmpl w:val="3D9A9BCA"/>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93A5841"/>
    <w:multiLevelType w:val="hybridMultilevel"/>
    <w:tmpl w:val="1BAE6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726370"/>
    <w:multiLevelType w:val="multilevel"/>
    <w:tmpl w:val="EEBC3186"/>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65047C7"/>
    <w:multiLevelType w:val="multilevel"/>
    <w:tmpl w:val="1A209016"/>
    <w:lvl w:ilvl="0">
      <w:start w:val="6"/>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6F503A9"/>
    <w:multiLevelType w:val="multilevel"/>
    <w:tmpl w:val="F4A06248"/>
    <w:lvl w:ilvl="0">
      <w:start w:val="1"/>
      <w:numFmt w:val="bullet"/>
      <w:lvlText w:val=""/>
      <w:lvlJc w:val="left"/>
      <w:pPr>
        <w:ind w:left="340" w:hanging="340"/>
      </w:pPr>
      <w:rPr>
        <w:rFonts w:ascii="Symbol" w:hAnsi="Symbol" w:hint="default"/>
        <w:color w:val="auto"/>
      </w:rPr>
    </w:lvl>
    <w:lvl w:ilvl="1">
      <w:start w:val="1"/>
      <w:numFmt w:val="bullet"/>
      <w:lvlText w:val=""/>
      <w:lvlJc w:val="left"/>
      <w:pPr>
        <w:ind w:left="720" w:hanging="38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E4514EE"/>
    <w:multiLevelType w:val="hybridMultilevel"/>
    <w:tmpl w:val="E75439DC"/>
    <w:lvl w:ilvl="0" w:tplc="504CF57A">
      <w:numFmt w:val="bullet"/>
      <w:lvlText w:val="-"/>
      <w:lvlJc w:val="left"/>
      <w:pPr>
        <w:ind w:left="405" w:hanging="360"/>
      </w:pPr>
      <w:rPr>
        <w:rFonts w:ascii="Calibri" w:eastAsia="Arial Unicode MS" w:hAnsi="Calibri" w:cs="Optima"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0">
    <w:nsid w:val="6ED771BB"/>
    <w:multiLevelType w:val="multilevel"/>
    <w:tmpl w:val="F4A06248"/>
    <w:lvl w:ilvl="0">
      <w:start w:val="1"/>
      <w:numFmt w:val="bullet"/>
      <w:lvlText w:val=""/>
      <w:lvlJc w:val="left"/>
      <w:pPr>
        <w:ind w:left="340" w:hanging="340"/>
      </w:pPr>
      <w:rPr>
        <w:rFonts w:ascii="Symbol" w:hAnsi="Symbol" w:hint="default"/>
        <w:color w:val="auto"/>
      </w:rPr>
    </w:lvl>
    <w:lvl w:ilvl="1">
      <w:start w:val="1"/>
      <w:numFmt w:val="bullet"/>
      <w:lvlText w:val=""/>
      <w:lvlJc w:val="left"/>
      <w:pPr>
        <w:ind w:left="720" w:hanging="38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F043670"/>
    <w:multiLevelType w:val="multilevel"/>
    <w:tmpl w:val="F4A06248"/>
    <w:lvl w:ilvl="0">
      <w:start w:val="1"/>
      <w:numFmt w:val="bullet"/>
      <w:lvlText w:val=""/>
      <w:lvlJc w:val="left"/>
      <w:pPr>
        <w:ind w:left="340" w:hanging="340"/>
      </w:pPr>
      <w:rPr>
        <w:rFonts w:ascii="Symbol" w:hAnsi="Symbol" w:hint="default"/>
        <w:color w:val="auto"/>
      </w:rPr>
    </w:lvl>
    <w:lvl w:ilvl="1">
      <w:start w:val="1"/>
      <w:numFmt w:val="bullet"/>
      <w:lvlText w:val=""/>
      <w:lvlJc w:val="left"/>
      <w:pPr>
        <w:ind w:left="720" w:hanging="38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F3805A1"/>
    <w:multiLevelType w:val="multilevel"/>
    <w:tmpl w:val="14DEC5BC"/>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71477B41"/>
    <w:multiLevelType w:val="multilevel"/>
    <w:tmpl w:val="F4A06248"/>
    <w:lvl w:ilvl="0">
      <w:start w:val="1"/>
      <w:numFmt w:val="bullet"/>
      <w:lvlText w:val=""/>
      <w:lvlJc w:val="left"/>
      <w:pPr>
        <w:ind w:left="340" w:hanging="340"/>
      </w:pPr>
      <w:rPr>
        <w:rFonts w:ascii="Symbol" w:hAnsi="Symbol" w:hint="default"/>
        <w:color w:val="auto"/>
      </w:rPr>
    </w:lvl>
    <w:lvl w:ilvl="1">
      <w:start w:val="1"/>
      <w:numFmt w:val="bullet"/>
      <w:lvlText w:val=""/>
      <w:lvlJc w:val="left"/>
      <w:pPr>
        <w:ind w:left="720" w:hanging="38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7320D8E"/>
    <w:multiLevelType w:val="multilevel"/>
    <w:tmpl w:val="14DEC5BC"/>
    <w:lvl w:ilvl="0">
      <w:start w:val="1"/>
      <w:numFmt w:val="upperRoman"/>
      <w:lvlText w:val="%1."/>
      <w:lvlJc w:val="left"/>
      <w:pPr>
        <w:ind w:left="340" w:hanging="340"/>
      </w:pPr>
      <w:rPr>
        <w:rFonts w:hint="default"/>
      </w:rPr>
    </w:lvl>
    <w:lvl w:ilvl="1">
      <w:start w:val="1"/>
      <w:numFmt w:val="decimal"/>
      <w:lvlText w:val="%2."/>
      <w:lvlJc w:val="left"/>
      <w:pPr>
        <w:tabs>
          <w:tab w:val="num" w:pos="567"/>
        </w:tabs>
        <w:ind w:left="680" w:hanging="340"/>
      </w:pPr>
      <w:rPr>
        <w:rFonts w:hint="default"/>
      </w:rPr>
    </w:lvl>
    <w:lvl w:ilvl="2">
      <w:start w:val="1"/>
      <w:numFmt w:val="lowerRoman"/>
      <w:lvlText w:val="%3."/>
      <w:lvlJc w:val="left"/>
      <w:pPr>
        <w:tabs>
          <w:tab w:val="num" w:pos="737"/>
        </w:tabs>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9"/>
  </w:num>
  <w:num w:numId="3">
    <w:abstractNumId w:val="3"/>
  </w:num>
  <w:num w:numId="4">
    <w:abstractNumId w:val="4"/>
  </w:num>
  <w:num w:numId="5">
    <w:abstractNumId w:val="13"/>
  </w:num>
  <w:num w:numId="6">
    <w:abstractNumId w:val="7"/>
  </w:num>
  <w:num w:numId="7">
    <w:abstractNumId w:val="0"/>
  </w:num>
  <w:num w:numId="8">
    <w:abstractNumId w:val="12"/>
  </w:num>
  <w:num w:numId="9">
    <w:abstractNumId w:val="1"/>
  </w:num>
  <w:num w:numId="10">
    <w:abstractNumId w:val="16"/>
  </w:num>
  <w:num w:numId="11">
    <w:abstractNumId w:val="8"/>
  </w:num>
  <w:num w:numId="12">
    <w:abstractNumId w:val="22"/>
  </w:num>
  <w:num w:numId="13">
    <w:abstractNumId w:val="24"/>
  </w:num>
  <w:num w:numId="14">
    <w:abstractNumId w:val="14"/>
  </w:num>
  <w:num w:numId="15">
    <w:abstractNumId w:val="9"/>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0"/>
  </w:num>
  <w:num w:numId="20">
    <w:abstractNumId w:val="6"/>
  </w:num>
  <w:num w:numId="21">
    <w:abstractNumId w:val="18"/>
  </w:num>
  <w:num w:numId="22">
    <w:abstractNumId w:val="21"/>
  </w:num>
  <w:num w:numId="23">
    <w:abstractNumId w:val="23"/>
  </w:num>
  <w:num w:numId="24">
    <w:abstractNumId w:val="20"/>
  </w:num>
  <w:num w:numId="25">
    <w:abstractNumId w:val="17"/>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9"/>
  <w:hyphenationZone w:val="425"/>
  <w:drawingGridHorizontalSpacing w:val="120"/>
  <w:drawingGridVerticalSpacing w:val="181"/>
  <w:displayHorizontalDrawingGridEvery w:val="2"/>
  <w:characterSpacingControl w:val="doNotCompress"/>
  <w:hdrShapeDefaults>
    <o:shapedefaults v:ext="edit" spidmax="119810">
      <o:colormenu v:ext="edit" fillcolor="none" strokecolor="#c00000"/>
    </o:shapedefaults>
  </w:hdrShapeDefaults>
  <w:footnotePr>
    <w:footnote w:id="0"/>
    <w:footnote w:id="1"/>
  </w:footnotePr>
  <w:endnotePr>
    <w:numFmt w:val="decimal"/>
    <w:endnote w:id="0"/>
    <w:endnote w:id="1"/>
  </w:endnotePr>
  <w:compat>
    <w:useFELayout/>
  </w:compat>
  <w:rsids>
    <w:rsidRoot w:val="00612D2B"/>
    <w:rsid w:val="00001083"/>
    <w:rsid w:val="000028EC"/>
    <w:rsid w:val="00007455"/>
    <w:rsid w:val="00013E4B"/>
    <w:rsid w:val="00014DA2"/>
    <w:rsid w:val="0001501F"/>
    <w:rsid w:val="000152E0"/>
    <w:rsid w:val="000229C3"/>
    <w:rsid w:val="00024073"/>
    <w:rsid w:val="00024655"/>
    <w:rsid w:val="00025A02"/>
    <w:rsid w:val="00025F6B"/>
    <w:rsid w:val="00030459"/>
    <w:rsid w:val="000319EB"/>
    <w:rsid w:val="000327CD"/>
    <w:rsid w:val="00033F62"/>
    <w:rsid w:val="00040A41"/>
    <w:rsid w:val="00042039"/>
    <w:rsid w:val="00042049"/>
    <w:rsid w:val="00043CDE"/>
    <w:rsid w:val="000444AA"/>
    <w:rsid w:val="0004468E"/>
    <w:rsid w:val="00050477"/>
    <w:rsid w:val="00053506"/>
    <w:rsid w:val="00053DCC"/>
    <w:rsid w:val="0005700A"/>
    <w:rsid w:val="000602CA"/>
    <w:rsid w:val="0007114F"/>
    <w:rsid w:val="000715C6"/>
    <w:rsid w:val="00071ED1"/>
    <w:rsid w:val="00073AFF"/>
    <w:rsid w:val="000774CA"/>
    <w:rsid w:val="0007787D"/>
    <w:rsid w:val="00080BB2"/>
    <w:rsid w:val="00084A18"/>
    <w:rsid w:val="0008640B"/>
    <w:rsid w:val="00086713"/>
    <w:rsid w:val="00087805"/>
    <w:rsid w:val="0008787A"/>
    <w:rsid w:val="000900C2"/>
    <w:rsid w:val="00090B89"/>
    <w:rsid w:val="00091401"/>
    <w:rsid w:val="000938D6"/>
    <w:rsid w:val="00096BD5"/>
    <w:rsid w:val="000A54F0"/>
    <w:rsid w:val="000B1707"/>
    <w:rsid w:val="000B1819"/>
    <w:rsid w:val="000B1D56"/>
    <w:rsid w:val="000B2C18"/>
    <w:rsid w:val="000B419A"/>
    <w:rsid w:val="000C3E7F"/>
    <w:rsid w:val="000C4939"/>
    <w:rsid w:val="000C7A20"/>
    <w:rsid w:val="000D00F2"/>
    <w:rsid w:val="000D1E3D"/>
    <w:rsid w:val="000D24D9"/>
    <w:rsid w:val="000D6387"/>
    <w:rsid w:val="000D7BC2"/>
    <w:rsid w:val="000E2248"/>
    <w:rsid w:val="000E3375"/>
    <w:rsid w:val="000E3681"/>
    <w:rsid w:val="000E742D"/>
    <w:rsid w:val="000F14F3"/>
    <w:rsid w:val="000F1AD7"/>
    <w:rsid w:val="000F623E"/>
    <w:rsid w:val="000F6701"/>
    <w:rsid w:val="000F6FBD"/>
    <w:rsid w:val="000F7065"/>
    <w:rsid w:val="000F73E3"/>
    <w:rsid w:val="0010140A"/>
    <w:rsid w:val="0010181C"/>
    <w:rsid w:val="00102470"/>
    <w:rsid w:val="00106472"/>
    <w:rsid w:val="00110194"/>
    <w:rsid w:val="001112E2"/>
    <w:rsid w:val="00111341"/>
    <w:rsid w:val="001121EE"/>
    <w:rsid w:val="001126DC"/>
    <w:rsid w:val="0011357D"/>
    <w:rsid w:val="00116032"/>
    <w:rsid w:val="00116A41"/>
    <w:rsid w:val="00121834"/>
    <w:rsid w:val="00121FB1"/>
    <w:rsid w:val="001221EA"/>
    <w:rsid w:val="00122B1A"/>
    <w:rsid w:val="00124530"/>
    <w:rsid w:val="00126D25"/>
    <w:rsid w:val="00127E86"/>
    <w:rsid w:val="0013096F"/>
    <w:rsid w:val="00131D24"/>
    <w:rsid w:val="001353C5"/>
    <w:rsid w:val="00136853"/>
    <w:rsid w:val="001428BB"/>
    <w:rsid w:val="0014751A"/>
    <w:rsid w:val="00150158"/>
    <w:rsid w:val="00150DE7"/>
    <w:rsid w:val="001538D5"/>
    <w:rsid w:val="00154583"/>
    <w:rsid w:val="00155456"/>
    <w:rsid w:val="00156A5B"/>
    <w:rsid w:val="00160BAB"/>
    <w:rsid w:val="0016369B"/>
    <w:rsid w:val="00163ACA"/>
    <w:rsid w:val="001645BE"/>
    <w:rsid w:val="00170A4C"/>
    <w:rsid w:val="00171DE2"/>
    <w:rsid w:val="00173A9A"/>
    <w:rsid w:val="0017499F"/>
    <w:rsid w:val="00176D17"/>
    <w:rsid w:val="00176DF5"/>
    <w:rsid w:val="00177A99"/>
    <w:rsid w:val="00180CBC"/>
    <w:rsid w:val="00181372"/>
    <w:rsid w:val="0018292A"/>
    <w:rsid w:val="00186A0F"/>
    <w:rsid w:val="00187D52"/>
    <w:rsid w:val="00187FA3"/>
    <w:rsid w:val="00191BB0"/>
    <w:rsid w:val="00192D24"/>
    <w:rsid w:val="00195A4B"/>
    <w:rsid w:val="00197960"/>
    <w:rsid w:val="001A0014"/>
    <w:rsid w:val="001A0B47"/>
    <w:rsid w:val="001A4D01"/>
    <w:rsid w:val="001A5779"/>
    <w:rsid w:val="001A5BC8"/>
    <w:rsid w:val="001B33F5"/>
    <w:rsid w:val="001C03AE"/>
    <w:rsid w:val="001C2531"/>
    <w:rsid w:val="001C30C9"/>
    <w:rsid w:val="001C421C"/>
    <w:rsid w:val="001C4E7C"/>
    <w:rsid w:val="001C4F0D"/>
    <w:rsid w:val="001D1F22"/>
    <w:rsid w:val="001D21C7"/>
    <w:rsid w:val="001D29A1"/>
    <w:rsid w:val="001D2C46"/>
    <w:rsid w:val="001D5518"/>
    <w:rsid w:val="001D57DB"/>
    <w:rsid w:val="001E20FF"/>
    <w:rsid w:val="001E24FA"/>
    <w:rsid w:val="001E3C91"/>
    <w:rsid w:val="001E40FB"/>
    <w:rsid w:val="001E5099"/>
    <w:rsid w:val="001E69BB"/>
    <w:rsid w:val="001F039C"/>
    <w:rsid w:val="001F13CA"/>
    <w:rsid w:val="001F2603"/>
    <w:rsid w:val="001F2ECC"/>
    <w:rsid w:val="001F38AD"/>
    <w:rsid w:val="001F484E"/>
    <w:rsid w:val="001F49DC"/>
    <w:rsid w:val="001F57AD"/>
    <w:rsid w:val="001F74A2"/>
    <w:rsid w:val="002019B1"/>
    <w:rsid w:val="00202DA5"/>
    <w:rsid w:val="0020706C"/>
    <w:rsid w:val="0021135B"/>
    <w:rsid w:val="0021154E"/>
    <w:rsid w:val="00211F06"/>
    <w:rsid w:val="002139BF"/>
    <w:rsid w:val="00213E87"/>
    <w:rsid w:val="00214EED"/>
    <w:rsid w:val="00216E3D"/>
    <w:rsid w:val="00217B08"/>
    <w:rsid w:val="00220D0E"/>
    <w:rsid w:val="002223B9"/>
    <w:rsid w:val="0022275A"/>
    <w:rsid w:val="00223B60"/>
    <w:rsid w:val="0022602E"/>
    <w:rsid w:val="00227B6D"/>
    <w:rsid w:val="00231888"/>
    <w:rsid w:val="002332D8"/>
    <w:rsid w:val="00234EF6"/>
    <w:rsid w:val="00235A02"/>
    <w:rsid w:val="0024379A"/>
    <w:rsid w:val="00243DDC"/>
    <w:rsid w:val="00246B42"/>
    <w:rsid w:val="002473B7"/>
    <w:rsid w:val="00254076"/>
    <w:rsid w:val="002577C0"/>
    <w:rsid w:val="002609F4"/>
    <w:rsid w:val="00264E59"/>
    <w:rsid w:val="0026516F"/>
    <w:rsid w:val="00267B79"/>
    <w:rsid w:val="00270F27"/>
    <w:rsid w:val="00272357"/>
    <w:rsid w:val="0027434C"/>
    <w:rsid w:val="0027795E"/>
    <w:rsid w:val="00277E4A"/>
    <w:rsid w:val="0028414E"/>
    <w:rsid w:val="00284251"/>
    <w:rsid w:val="00285940"/>
    <w:rsid w:val="00287052"/>
    <w:rsid w:val="002968D0"/>
    <w:rsid w:val="00297A15"/>
    <w:rsid w:val="002A38DF"/>
    <w:rsid w:val="002A4B3F"/>
    <w:rsid w:val="002A4D15"/>
    <w:rsid w:val="002A6C5F"/>
    <w:rsid w:val="002B4A12"/>
    <w:rsid w:val="002B55D0"/>
    <w:rsid w:val="002B72C9"/>
    <w:rsid w:val="002C384B"/>
    <w:rsid w:val="002C47A0"/>
    <w:rsid w:val="002C7A5E"/>
    <w:rsid w:val="002D0910"/>
    <w:rsid w:val="002D15D3"/>
    <w:rsid w:val="002D39B0"/>
    <w:rsid w:val="002D3AA6"/>
    <w:rsid w:val="002D40D1"/>
    <w:rsid w:val="002D517D"/>
    <w:rsid w:val="002D7BBD"/>
    <w:rsid w:val="002E5AD2"/>
    <w:rsid w:val="002E67EC"/>
    <w:rsid w:val="002E6DC9"/>
    <w:rsid w:val="002E7FE6"/>
    <w:rsid w:val="002F10DE"/>
    <w:rsid w:val="002F138C"/>
    <w:rsid w:val="002F29FE"/>
    <w:rsid w:val="002F4160"/>
    <w:rsid w:val="002F4166"/>
    <w:rsid w:val="002F45DD"/>
    <w:rsid w:val="002F53FD"/>
    <w:rsid w:val="002F5A88"/>
    <w:rsid w:val="002F6E06"/>
    <w:rsid w:val="00300831"/>
    <w:rsid w:val="003014B6"/>
    <w:rsid w:val="00301B91"/>
    <w:rsid w:val="003022D7"/>
    <w:rsid w:val="00302E83"/>
    <w:rsid w:val="00304E1B"/>
    <w:rsid w:val="00305B09"/>
    <w:rsid w:val="003101E5"/>
    <w:rsid w:val="00313C01"/>
    <w:rsid w:val="00313F23"/>
    <w:rsid w:val="00314E74"/>
    <w:rsid w:val="00320648"/>
    <w:rsid w:val="00320CBF"/>
    <w:rsid w:val="00321C35"/>
    <w:rsid w:val="003251E6"/>
    <w:rsid w:val="0032675A"/>
    <w:rsid w:val="0033050E"/>
    <w:rsid w:val="00330E4E"/>
    <w:rsid w:val="00332906"/>
    <w:rsid w:val="00332C25"/>
    <w:rsid w:val="003334FF"/>
    <w:rsid w:val="00334336"/>
    <w:rsid w:val="00334B1A"/>
    <w:rsid w:val="003351B3"/>
    <w:rsid w:val="003353E3"/>
    <w:rsid w:val="00335E03"/>
    <w:rsid w:val="00336B5B"/>
    <w:rsid w:val="00336DA5"/>
    <w:rsid w:val="00337F3C"/>
    <w:rsid w:val="00342A9A"/>
    <w:rsid w:val="00344AD6"/>
    <w:rsid w:val="00346E5A"/>
    <w:rsid w:val="00350A6D"/>
    <w:rsid w:val="00351B29"/>
    <w:rsid w:val="00352F72"/>
    <w:rsid w:val="00353221"/>
    <w:rsid w:val="003537BE"/>
    <w:rsid w:val="00356C48"/>
    <w:rsid w:val="00356C59"/>
    <w:rsid w:val="00357806"/>
    <w:rsid w:val="0036117F"/>
    <w:rsid w:val="00365203"/>
    <w:rsid w:val="00365704"/>
    <w:rsid w:val="00367696"/>
    <w:rsid w:val="00371CCE"/>
    <w:rsid w:val="0037238B"/>
    <w:rsid w:val="0037397C"/>
    <w:rsid w:val="003765E6"/>
    <w:rsid w:val="003805D8"/>
    <w:rsid w:val="0038205D"/>
    <w:rsid w:val="00382FDE"/>
    <w:rsid w:val="00383AD1"/>
    <w:rsid w:val="00387711"/>
    <w:rsid w:val="0039197D"/>
    <w:rsid w:val="00392BEE"/>
    <w:rsid w:val="00392ECC"/>
    <w:rsid w:val="00393BC8"/>
    <w:rsid w:val="0039512A"/>
    <w:rsid w:val="003979C8"/>
    <w:rsid w:val="00397A59"/>
    <w:rsid w:val="003A0DE6"/>
    <w:rsid w:val="003A1F2B"/>
    <w:rsid w:val="003A2B6C"/>
    <w:rsid w:val="003A2D8E"/>
    <w:rsid w:val="003A5499"/>
    <w:rsid w:val="003A6431"/>
    <w:rsid w:val="003B09FE"/>
    <w:rsid w:val="003B2766"/>
    <w:rsid w:val="003B2B8A"/>
    <w:rsid w:val="003B7F7A"/>
    <w:rsid w:val="003C04A6"/>
    <w:rsid w:val="003C1B06"/>
    <w:rsid w:val="003C1FCC"/>
    <w:rsid w:val="003C25AA"/>
    <w:rsid w:val="003C26BA"/>
    <w:rsid w:val="003C3E53"/>
    <w:rsid w:val="003C4831"/>
    <w:rsid w:val="003D0A54"/>
    <w:rsid w:val="003D648F"/>
    <w:rsid w:val="003E1CFA"/>
    <w:rsid w:val="003E3502"/>
    <w:rsid w:val="003E4451"/>
    <w:rsid w:val="003E5D3B"/>
    <w:rsid w:val="003F0545"/>
    <w:rsid w:val="003F1983"/>
    <w:rsid w:val="003F30BD"/>
    <w:rsid w:val="003F320B"/>
    <w:rsid w:val="00405685"/>
    <w:rsid w:val="0041028D"/>
    <w:rsid w:val="00410BF9"/>
    <w:rsid w:val="0041226D"/>
    <w:rsid w:val="004127AE"/>
    <w:rsid w:val="004131CB"/>
    <w:rsid w:val="00413D01"/>
    <w:rsid w:val="0041534D"/>
    <w:rsid w:val="004163C0"/>
    <w:rsid w:val="00416D2F"/>
    <w:rsid w:val="00416EF3"/>
    <w:rsid w:val="004170A9"/>
    <w:rsid w:val="0042013D"/>
    <w:rsid w:val="0042097A"/>
    <w:rsid w:val="00420BF0"/>
    <w:rsid w:val="004212C0"/>
    <w:rsid w:val="00421E82"/>
    <w:rsid w:val="00422D0B"/>
    <w:rsid w:val="00423FF3"/>
    <w:rsid w:val="00425F15"/>
    <w:rsid w:val="00425F20"/>
    <w:rsid w:val="00432548"/>
    <w:rsid w:val="00434829"/>
    <w:rsid w:val="00437599"/>
    <w:rsid w:val="00441603"/>
    <w:rsid w:val="00441B3B"/>
    <w:rsid w:val="00446238"/>
    <w:rsid w:val="00447074"/>
    <w:rsid w:val="00450AC3"/>
    <w:rsid w:val="004544AD"/>
    <w:rsid w:val="004565C6"/>
    <w:rsid w:val="00457D3E"/>
    <w:rsid w:val="00460AAA"/>
    <w:rsid w:val="00460B9D"/>
    <w:rsid w:val="00464943"/>
    <w:rsid w:val="004665D8"/>
    <w:rsid w:val="00467C10"/>
    <w:rsid w:val="0047075A"/>
    <w:rsid w:val="004744BD"/>
    <w:rsid w:val="00477B62"/>
    <w:rsid w:val="00483978"/>
    <w:rsid w:val="00485754"/>
    <w:rsid w:val="00485DE8"/>
    <w:rsid w:val="00486AF2"/>
    <w:rsid w:val="00487E0B"/>
    <w:rsid w:val="004908FF"/>
    <w:rsid w:val="00490ED1"/>
    <w:rsid w:val="00494B39"/>
    <w:rsid w:val="004A1149"/>
    <w:rsid w:val="004A2371"/>
    <w:rsid w:val="004A3AFE"/>
    <w:rsid w:val="004A6438"/>
    <w:rsid w:val="004A6481"/>
    <w:rsid w:val="004B02AA"/>
    <w:rsid w:val="004B3FB3"/>
    <w:rsid w:val="004B574C"/>
    <w:rsid w:val="004B6545"/>
    <w:rsid w:val="004B7831"/>
    <w:rsid w:val="004C1223"/>
    <w:rsid w:val="004C2553"/>
    <w:rsid w:val="004C3705"/>
    <w:rsid w:val="004C40C5"/>
    <w:rsid w:val="004C55EC"/>
    <w:rsid w:val="004C5D2E"/>
    <w:rsid w:val="004D1A85"/>
    <w:rsid w:val="004D2BFD"/>
    <w:rsid w:val="004D426E"/>
    <w:rsid w:val="004D48D4"/>
    <w:rsid w:val="004E1005"/>
    <w:rsid w:val="004E1BC6"/>
    <w:rsid w:val="004E262F"/>
    <w:rsid w:val="004E2E1D"/>
    <w:rsid w:val="004E2EA6"/>
    <w:rsid w:val="004E3DF6"/>
    <w:rsid w:val="004E4054"/>
    <w:rsid w:val="004E44A5"/>
    <w:rsid w:val="004E460D"/>
    <w:rsid w:val="004E5342"/>
    <w:rsid w:val="004E5670"/>
    <w:rsid w:val="004E6D63"/>
    <w:rsid w:val="004E7FB4"/>
    <w:rsid w:val="004F0B0E"/>
    <w:rsid w:val="004F1ABB"/>
    <w:rsid w:val="004F304E"/>
    <w:rsid w:val="004F3161"/>
    <w:rsid w:val="004F447A"/>
    <w:rsid w:val="004F6866"/>
    <w:rsid w:val="005002D2"/>
    <w:rsid w:val="00506338"/>
    <w:rsid w:val="0051283B"/>
    <w:rsid w:val="005155BE"/>
    <w:rsid w:val="00516E85"/>
    <w:rsid w:val="00517C4F"/>
    <w:rsid w:val="005203D5"/>
    <w:rsid w:val="005249C4"/>
    <w:rsid w:val="0052698A"/>
    <w:rsid w:val="00527801"/>
    <w:rsid w:val="00531CF0"/>
    <w:rsid w:val="00533329"/>
    <w:rsid w:val="00533E0F"/>
    <w:rsid w:val="00536E05"/>
    <w:rsid w:val="00536E1E"/>
    <w:rsid w:val="00537DAB"/>
    <w:rsid w:val="00537E9E"/>
    <w:rsid w:val="00541510"/>
    <w:rsid w:val="00542312"/>
    <w:rsid w:val="00542703"/>
    <w:rsid w:val="00551375"/>
    <w:rsid w:val="0055278D"/>
    <w:rsid w:val="0055325E"/>
    <w:rsid w:val="00555802"/>
    <w:rsid w:val="00556884"/>
    <w:rsid w:val="0056238E"/>
    <w:rsid w:val="005636DD"/>
    <w:rsid w:val="005641C6"/>
    <w:rsid w:val="00565E75"/>
    <w:rsid w:val="005673A9"/>
    <w:rsid w:val="00571DA2"/>
    <w:rsid w:val="0057268A"/>
    <w:rsid w:val="00575254"/>
    <w:rsid w:val="00576E2F"/>
    <w:rsid w:val="00576F72"/>
    <w:rsid w:val="005801C0"/>
    <w:rsid w:val="00585A08"/>
    <w:rsid w:val="00585C46"/>
    <w:rsid w:val="0059234C"/>
    <w:rsid w:val="0059234E"/>
    <w:rsid w:val="005972AA"/>
    <w:rsid w:val="005A309C"/>
    <w:rsid w:val="005A386F"/>
    <w:rsid w:val="005A40C6"/>
    <w:rsid w:val="005A4D9E"/>
    <w:rsid w:val="005A5712"/>
    <w:rsid w:val="005B34B3"/>
    <w:rsid w:val="005B3A8C"/>
    <w:rsid w:val="005B58A1"/>
    <w:rsid w:val="005B5F57"/>
    <w:rsid w:val="005C0FC8"/>
    <w:rsid w:val="005C16BC"/>
    <w:rsid w:val="005C1D3E"/>
    <w:rsid w:val="005C1FA4"/>
    <w:rsid w:val="005C5F23"/>
    <w:rsid w:val="005C6A5F"/>
    <w:rsid w:val="005C74A3"/>
    <w:rsid w:val="005C7D14"/>
    <w:rsid w:val="005D204A"/>
    <w:rsid w:val="005D38C8"/>
    <w:rsid w:val="005D3E74"/>
    <w:rsid w:val="005D40AF"/>
    <w:rsid w:val="005E1703"/>
    <w:rsid w:val="005E1C2D"/>
    <w:rsid w:val="005E2D91"/>
    <w:rsid w:val="005E4E2C"/>
    <w:rsid w:val="005E784E"/>
    <w:rsid w:val="005F20A8"/>
    <w:rsid w:val="005F2A77"/>
    <w:rsid w:val="005F33EC"/>
    <w:rsid w:val="005F49FB"/>
    <w:rsid w:val="005F5CFA"/>
    <w:rsid w:val="005F64D7"/>
    <w:rsid w:val="00600247"/>
    <w:rsid w:val="00601127"/>
    <w:rsid w:val="00601EB6"/>
    <w:rsid w:val="006064AB"/>
    <w:rsid w:val="00610A17"/>
    <w:rsid w:val="00611799"/>
    <w:rsid w:val="00612D2B"/>
    <w:rsid w:val="00612FE2"/>
    <w:rsid w:val="00622C9F"/>
    <w:rsid w:val="00624459"/>
    <w:rsid w:val="00624D9C"/>
    <w:rsid w:val="0062548B"/>
    <w:rsid w:val="006262BF"/>
    <w:rsid w:val="006270C9"/>
    <w:rsid w:val="006333FB"/>
    <w:rsid w:val="006338EE"/>
    <w:rsid w:val="00633B68"/>
    <w:rsid w:val="006379B1"/>
    <w:rsid w:val="00637CE2"/>
    <w:rsid w:val="0064073A"/>
    <w:rsid w:val="006419EC"/>
    <w:rsid w:val="00642082"/>
    <w:rsid w:val="00642621"/>
    <w:rsid w:val="006459F7"/>
    <w:rsid w:val="00651DFD"/>
    <w:rsid w:val="00652004"/>
    <w:rsid w:val="006523D8"/>
    <w:rsid w:val="006535C0"/>
    <w:rsid w:val="00654932"/>
    <w:rsid w:val="00654C33"/>
    <w:rsid w:val="00655809"/>
    <w:rsid w:val="0066081E"/>
    <w:rsid w:val="00661B51"/>
    <w:rsid w:val="0066295E"/>
    <w:rsid w:val="00663D13"/>
    <w:rsid w:val="006643F5"/>
    <w:rsid w:val="0066520C"/>
    <w:rsid w:val="00665CF2"/>
    <w:rsid w:val="006663FB"/>
    <w:rsid w:val="00667BEA"/>
    <w:rsid w:val="006825D9"/>
    <w:rsid w:val="00683243"/>
    <w:rsid w:val="006856DF"/>
    <w:rsid w:val="00686C86"/>
    <w:rsid w:val="006876B0"/>
    <w:rsid w:val="00690EB7"/>
    <w:rsid w:val="00691CF2"/>
    <w:rsid w:val="00693D6C"/>
    <w:rsid w:val="00696529"/>
    <w:rsid w:val="0069687B"/>
    <w:rsid w:val="006A12AF"/>
    <w:rsid w:val="006A2D4E"/>
    <w:rsid w:val="006A3869"/>
    <w:rsid w:val="006A4513"/>
    <w:rsid w:val="006A463D"/>
    <w:rsid w:val="006A604B"/>
    <w:rsid w:val="006A789B"/>
    <w:rsid w:val="006B1A26"/>
    <w:rsid w:val="006B3F54"/>
    <w:rsid w:val="006B67BF"/>
    <w:rsid w:val="006B7AF9"/>
    <w:rsid w:val="006C0488"/>
    <w:rsid w:val="006C0946"/>
    <w:rsid w:val="006C4FEE"/>
    <w:rsid w:val="006C503A"/>
    <w:rsid w:val="006C79AA"/>
    <w:rsid w:val="006D283B"/>
    <w:rsid w:val="006E4A8B"/>
    <w:rsid w:val="006E7589"/>
    <w:rsid w:val="006E7C5F"/>
    <w:rsid w:val="006F0C37"/>
    <w:rsid w:val="006F180D"/>
    <w:rsid w:val="006F3881"/>
    <w:rsid w:val="006F4222"/>
    <w:rsid w:val="006F46D9"/>
    <w:rsid w:val="006F4CBF"/>
    <w:rsid w:val="006F7BEF"/>
    <w:rsid w:val="006F7E96"/>
    <w:rsid w:val="00700F77"/>
    <w:rsid w:val="007016A5"/>
    <w:rsid w:val="007038FF"/>
    <w:rsid w:val="00705012"/>
    <w:rsid w:val="007078A8"/>
    <w:rsid w:val="00710419"/>
    <w:rsid w:val="00710927"/>
    <w:rsid w:val="00710D47"/>
    <w:rsid w:val="00711DB5"/>
    <w:rsid w:val="00716124"/>
    <w:rsid w:val="00722C88"/>
    <w:rsid w:val="007271C8"/>
    <w:rsid w:val="00730AF4"/>
    <w:rsid w:val="007310F1"/>
    <w:rsid w:val="00732015"/>
    <w:rsid w:val="0073208B"/>
    <w:rsid w:val="00733181"/>
    <w:rsid w:val="007344FD"/>
    <w:rsid w:val="00735D70"/>
    <w:rsid w:val="007361EA"/>
    <w:rsid w:val="007362F2"/>
    <w:rsid w:val="00737F45"/>
    <w:rsid w:val="00741909"/>
    <w:rsid w:val="0074486B"/>
    <w:rsid w:val="00746155"/>
    <w:rsid w:val="007522FA"/>
    <w:rsid w:val="00753ADF"/>
    <w:rsid w:val="00754DB6"/>
    <w:rsid w:val="00756213"/>
    <w:rsid w:val="007572F9"/>
    <w:rsid w:val="00757559"/>
    <w:rsid w:val="00757FA4"/>
    <w:rsid w:val="00761844"/>
    <w:rsid w:val="00763A1E"/>
    <w:rsid w:val="007656AF"/>
    <w:rsid w:val="00765FFF"/>
    <w:rsid w:val="00774F3F"/>
    <w:rsid w:val="00776556"/>
    <w:rsid w:val="007812CE"/>
    <w:rsid w:val="007828D4"/>
    <w:rsid w:val="007836CF"/>
    <w:rsid w:val="0078497C"/>
    <w:rsid w:val="0078658B"/>
    <w:rsid w:val="00787FE6"/>
    <w:rsid w:val="00790F51"/>
    <w:rsid w:val="00791B47"/>
    <w:rsid w:val="00794453"/>
    <w:rsid w:val="00797506"/>
    <w:rsid w:val="007A4955"/>
    <w:rsid w:val="007A4F41"/>
    <w:rsid w:val="007A6074"/>
    <w:rsid w:val="007A7ED9"/>
    <w:rsid w:val="007B28EE"/>
    <w:rsid w:val="007B2F7D"/>
    <w:rsid w:val="007B3810"/>
    <w:rsid w:val="007B6E5E"/>
    <w:rsid w:val="007C0070"/>
    <w:rsid w:val="007C0484"/>
    <w:rsid w:val="007C1739"/>
    <w:rsid w:val="007C2FE5"/>
    <w:rsid w:val="007C47A1"/>
    <w:rsid w:val="007C4EAB"/>
    <w:rsid w:val="007C50D0"/>
    <w:rsid w:val="007C59E8"/>
    <w:rsid w:val="007C7914"/>
    <w:rsid w:val="007C7BA9"/>
    <w:rsid w:val="007D027E"/>
    <w:rsid w:val="007D1DBB"/>
    <w:rsid w:val="007D671B"/>
    <w:rsid w:val="007D7F3F"/>
    <w:rsid w:val="007E1CA5"/>
    <w:rsid w:val="007E4181"/>
    <w:rsid w:val="007E4C28"/>
    <w:rsid w:val="007E504D"/>
    <w:rsid w:val="007E57F4"/>
    <w:rsid w:val="007F05F8"/>
    <w:rsid w:val="007F263B"/>
    <w:rsid w:val="007F28FE"/>
    <w:rsid w:val="007F3374"/>
    <w:rsid w:val="007F4767"/>
    <w:rsid w:val="007F4F67"/>
    <w:rsid w:val="007F5636"/>
    <w:rsid w:val="007F64D6"/>
    <w:rsid w:val="008037B4"/>
    <w:rsid w:val="00803B25"/>
    <w:rsid w:val="008057F0"/>
    <w:rsid w:val="00810C7A"/>
    <w:rsid w:val="00810CC3"/>
    <w:rsid w:val="00810E23"/>
    <w:rsid w:val="008120FA"/>
    <w:rsid w:val="0081227B"/>
    <w:rsid w:val="00820C6D"/>
    <w:rsid w:val="00821C6D"/>
    <w:rsid w:val="00821E83"/>
    <w:rsid w:val="0082236F"/>
    <w:rsid w:val="008261AB"/>
    <w:rsid w:val="00826BE8"/>
    <w:rsid w:val="00831040"/>
    <w:rsid w:val="00832622"/>
    <w:rsid w:val="00832E1E"/>
    <w:rsid w:val="00833854"/>
    <w:rsid w:val="00833C3C"/>
    <w:rsid w:val="00834EF6"/>
    <w:rsid w:val="00834FD4"/>
    <w:rsid w:val="00835EB4"/>
    <w:rsid w:val="008404AC"/>
    <w:rsid w:val="00842F93"/>
    <w:rsid w:val="008473E1"/>
    <w:rsid w:val="008477E1"/>
    <w:rsid w:val="00851600"/>
    <w:rsid w:val="008519BF"/>
    <w:rsid w:val="00853397"/>
    <w:rsid w:val="0085387F"/>
    <w:rsid w:val="00855FB2"/>
    <w:rsid w:val="0085619E"/>
    <w:rsid w:val="00857AC1"/>
    <w:rsid w:val="00863D43"/>
    <w:rsid w:val="00865867"/>
    <w:rsid w:val="008666CE"/>
    <w:rsid w:val="00866D57"/>
    <w:rsid w:val="0087021C"/>
    <w:rsid w:val="0087036A"/>
    <w:rsid w:val="00870AAD"/>
    <w:rsid w:val="00871ABA"/>
    <w:rsid w:val="00873144"/>
    <w:rsid w:val="00873B25"/>
    <w:rsid w:val="008762A9"/>
    <w:rsid w:val="00877D66"/>
    <w:rsid w:val="0088008E"/>
    <w:rsid w:val="008801E8"/>
    <w:rsid w:val="00882DAA"/>
    <w:rsid w:val="00882F57"/>
    <w:rsid w:val="00883AB4"/>
    <w:rsid w:val="0088493E"/>
    <w:rsid w:val="00884BD0"/>
    <w:rsid w:val="00886157"/>
    <w:rsid w:val="00891885"/>
    <w:rsid w:val="00892670"/>
    <w:rsid w:val="00893E60"/>
    <w:rsid w:val="00894D35"/>
    <w:rsid w:val="00897CB1"/>
    <w:rsid w:val="008A4F0F"/>
    <w:rsid w:val="008A5618"/>
    <w:rsid w:val="008A5D6C"/>
    <w:rsid w:val="008A5D78"/>
    <w:rsid w:val="008B295D"/>
    <w:rsid w:val="008C1A47"/>
    <w:rsid w:val="008C26CC"/>
    <w:rsid w:val="008C56A8"/>
    <w:rsid w:val="008C570D"/>
    <w:rsid w:val="008C65B0"/>
    <w:rsid w:val="008C7335"/>
    <w:rsid w:val="008C7C8E"/>
    <w:rsid w:val="008C7EFF"/>
    <w:rsid w:val="008D0FB0"/>
    <w:rsid w:val="008D1369"/>
    <w:rsid w:val="008D21ED"/>
    <w:rsid w:val="008D523E"/>
    <w:rsid w:val="008D5931"/>
    <w:rsid w:val="008D6574"/>
    <w:rsid w:val="008D716E"/>
    <w:rsid w:val="008E00CB"/>
    <w:rsid w:val="008E2004"/>
    <w:rsid w:val="008E2A22"/>
    <w:rsid w:val="008E3A30"/>
    <w:rsid w:val="008E5FFF"/>
    <w:rsid w:val="008E7763"/>
    <w:rsid w:val="008F023F"/>
    <w:rsid w:val="008F18FA"/>
    <w:rsid w:val="008F42FB"/>
    <w:rsid w:val="00903FBF"/>
    <w:rsid w:val="00904BC8"/>
    <w:rsid w:val="00906FEA"/>
    <w:rsid w:val="0090700B"/>
    <w:rsid w:val="00910D73"/>
    <w:rsid w:val="009137DB"/>
    <w:rsid w:val="00913E7E"/>
    <w:rsid w:val="0091501C"/>
    <w:rsid w:val="00921521"/>
    <w:rsid w:val="0092155D"/>
    <w:rsid w:val="00922B07"/>
    <w:rsid w:val="00927ED3"/>
    <w:rsid w:val="00932B77"/>
    <w:rsid w:val="009346EC"/>
    <w:rsid w:val="00935B74"/>
    <w:rsid w:val="00935F76"/>
    <w:rsid w:val="00937779"/>
    <w:rsid w:val="009437D3"/>
    <w:rsid w:val="00945804"/>
    <w:rsid w:val="00946607"/>
    <w:rsid w:val="009507C0"/>
    <w:rsid w:val="009531AF"/>
    <w:rsid w:val="00954669"/>
    <w:rsid w:val="00960111"/>
    <w:rsid w:val="00960814"/>
    <w:rsid w:val="00961B6B"/>
    <w:rsid w:val="009627E2"/>
    <w:rsid w:val="0096330F"/>
    <w:rsid w:val="00965558"/>
    <w:rsid w:val="00965EE8"/>
    <w:rsid w:val="00966986"/>
    <w:rsid w:val="00967DDF"/>
    <w:rsid w:val="0097024E"/>
    <w:rsid w:val="0097107E"/>
    <w:rsid w:val="00973CF3"/>
    <w:rsid w:val="00973D25"/>
    <w:rsid w:val="009741C7"/>
    <w:rsid w:val="00974DAA"/>
    <w:rsid w:val="00977D42"/>
    <w:rsid w:val="009811EF"/>
    <w:rsid w:val="00984A56"/>
    <w:rsid w:val="00987CBD"/>
    <w:rsid w:val="00990340"/>
    <w:rsid w:val="00993700"/>
    <w:rsid w:val="00995CE2"/>
    <w:rsid w:val="00996E1E"/>
    <w:rsid w:val="009A1496"/>
    <w:rsid w:val="009A28AA"/>
    <w:rsid w:val="009A333B"/>
    <w:rsid w:val="009A3CFF"/>
    <w:rsid w:val="009B1C5F"/>
    <w:rsid w:val="009B1F97"/>
    <w:rsid w:val="009B2C10"/>
    <w:rsid w:val="009B4545"/>
    <w:rsid w:val="009B6472"/>
    <w:rsid w:val="009B6F5C"/>
    <w:rsid w:val="009C23B3"/>
    <w:rsid w:val="009C3970"/>
    <w:rsid w:val="009C55E9"/>
    <w:rsid w:val="009C6445"/>
    <w:rsid w:val="009C6FC9"/>
    <w:rsid w:val="009C735E"/>
    <w:rsid w:val="009C7D83"/>
    <w:rsid w:val="009C7DE0"/>
    <w:rsid w:val="009D3BF1"/>
    <w:rsid w:val="009D40D8"/>
    <w:rsid w:val="009D7296"/>
    <w:rsid w:val="009D793B"/>
    <w:rsid w:val="009E0F8A"/>
    <w:rsid w:val="009E1DD4"/>
    <w:rsid w:val="009E5C02"/>
    <w:rsid w:val="009E62E0"/>
    <w:rsid w:val="009E75EB"/>
    <w:rsid w:val="009F53F2"/>
    <w:rsid w:val="00A027B8"/>
    <w:rsid w:val="00A02B5E"/>
    <w:rsid w:val="00A03B3C"/>
    <w:rsid w:val="00A04EC9"/>
    <w:rsid w:val="00A0558E"/>
    <w:rsid w:val="00A07F10"/>
    <w:rsid w:val="00A1183D"/>
    <w:rsid w:val="00A137D8"/>
    <w:rsid w:val="00A14357"/>
    <w:rsid w:val="00A154EE"/>
    <w:rsid w:val="00A15C70"/>
    <w:rsid w:val="00A15FF6"/>
    <w:rsid w:val="00A16D9D"/>
    <w:rsid w:val="00A17110"/>
    <w:rsid w:val="00A172B8"/>
    <w:rsid w:val="00A17D40"/>
    <w:rsid w:val="00A26132"/>
    <w:rsid w:val="00A305D9"/>
    <w:rsid w:val="00A3274E"/>
    <w:rsid w:val="00A32DF3"/>
    <w:rsid w:val="00A32F85"/>
    <w:rsid w:val="00A40236"/>
    <w:rsid w:val="00A41D5E"/>
    <w:rsid w:val="00A420A0"/>
    <w:rsid w:val="00A42F11"/>
    <w:rsid w:val="00A43C80"/>
    <w:rsid w:val="00A43CA6"/>
    <w:rsid w:val="00A44B6C"/>
    <w:rsid w:val="00A454F2"/>
    <w:rsid w:val="00A53149"/>
    <w:rsid w:val="00A5433D"/>
    <w:rsid w:val="00A57324"/>
    <w:rsid w:val="00A607E4"/>
    <w:rsid w:val="00A630A2"/>
    <w:rsid w:val="00A6347D"/>
    <w:rsid w:val="00A63A95"/>
    <w:rsid w:val="00A65FCB"/>
    <w:rsid w:val="00A661E0"/>
    <w:rsid w:val="00A72AD2"/>
    <w:rsid w:val="00A75919"/>
    <w:rsid w:val="00A7708A"/>
    <w:rsid w:val="00A812F6"/>
    <w:rsid w:val="00A84E6A"/>
    <w:rsid w:val="00A85391"/>
    <w:rsid w:val="00A87A5F"/>
    <w:rsid w:val="00A940BC"/>
    <w:rsid w:val="00A96723"/>
    <w:rsid w:val="00A96CCA"/>
    <w:rsid w:val="00AA4A7C"/>
    <w:rsid w:val="00AA73D4"/>
    <w:rsid w:val="00AB2128"/>
    <w:rsid w:val="00AB299F"/>
    <w:rsid w:val="00AB3564"/>
    <w:rsid w:val="00AB5480"/>
    <w:rsid w:val="00AB5ED0"/>
    <w:rsid w:val="00AC6E37"/>
    <w:rsid w:val="00AC730E"/>
    <w:rsid w:val="00AD0B2A"/>
    <w:rsid w:val="00AD127F"/>
    <w:rsid w:val="00AD5B71"/>
    <w:rsid w:val="00AE1C3E"/>
    <w:rsid w:val="00AE2600"/>
    <w:rsid w:val="00AE4333"/>
    <w:rsid w:val="00AE5116"/>
    <w:rsid w:val="00AE5AD0"/>
    <w:rsid w:val="00AE5E63"/>
    <w:rsid w:val="00AE6882"/>
    <w:rsid w:val="00AE7C6C"/>
    <w:rsid w:val="00AF1E5B"/>
    <w:rsid w:val="00AF24EC"/>
    <w:rsid w:val="00AF3C68"/>
    <w:rsid w:val="00AF3F40"/>
    <w:rsid w:val="00B01EE0"/>
    <w:rsid w:val="00B03E28"/>
    <w:rsid w:val="00B07679"/>
    <w:rsid w:val="00B10208"/>
    <w:rsid w:val="00B150EF"/>
    <w:rsid w:val="00B152FE"/>
    <w:rsid w:val="00B162B9"/>
    <w:rsid w:val="00B167AA"/>
    <w:rsid w:val="00B17088"/>
    <w:rsid w:val="00B21EF9"/>
    <w:rsid w:val="00B30B68"/>
    <w:rsid w:val="00B33EA5"/>
    <w:rsid w:val="00B346F3"/>
    <w:rsid w:val="00B359C4"/>
    <w:rsid w:val="00B37FA3"/>
    <w:rsid w:val="00B439BE"/>
    <w:rsid w:val="00B43EAA"/>
    <w:rsid w:val="00B462A0"/>
    <w:rsid w:val="00B47BD6"/>
    <w:rsid w:val="00B505FD"/>
    <w:rsid w:val="00B51274"/>
    <w:rsid w:val="00B5177B"/>
    <w:rsid w:val="00B533A4"/>
    <w:rsid w:val="00B53A45"/>
    <w:rsid w:val="00B54540"/>
    <w:rsid w:val="00B556A0"/>
    <w:rsid w:val="00B5771D"/>
    <w:rsid w:val="00B604B1"/>
    <w:rsid w:val="00B63618"/>
    <w:rsid w:val="00B663D0"/>
    <w:rsid w:val="00B66A89"/>
    <w:rsid w:val="00B7027B"/>
    <w:rsid w:val="00B75C0D"/>
    <w:rsid w:val="00B85234"/>
    <w:rsid w:val="00B85819"/>
    <w:rsid w:val="00B86162"/>
    <w:rsid w:val="00B86F41"/>
    <w:rsid w:val="00B9059D"/>
    <w:rsid w:val="00B94EB7"/>
    <w:rsid w:val="00B9718F"/>
    <w:rsid w:val="00BA004C"/>
    <w:rsid w:val="00BA35C5"/>
    <w:rsid w:val="00BA40FC"/>
    <w:rsid w:val="00BB09CA"/>
    <w:rsid w:val="00BB3698"/>
    <w:rsid w:val="00BB6B4B"/>
    <w:rsid w:val="00BC23F5"/>
    <w:rsid w:val="00BC4C1E"/>
    <w:rsid w:val="00BC672A"/>
    <w:rsid w:val="00BC7665"/>
    <w:rsid w:val="00BD3978"/>
    <w:rsid w:val="00BD477D"/>
    <w:rsid w:val="00BE0167"/>
    <w:rsid w:val="00BE276D"/>
    <w:rsid w:val="00BE44AC"/>
    <w:rsid w:val="00BE4EB0"/>
    <w:rsid w:val="00BF2559"/>
    <w:rsid w:val="00BF38DB"/>
    <w:rsid w:val="00BF505B"/>
    <w:rsid w:val="00BF7245"/>
    <w:rsid w:val="00C00522"/>
    <w:rsid w:val="00C024A7"/>
    <w:rsid w:val="00C02C0C"/>
    <w:rsid w:val="00C0342D"/>
    <w:rsid w:val="00C0396D"/>
    <w:rsid w:val="00C0554F"/>
    <w:rsid w:val="00C07768"/>
    <w:rsid w:val="00C10EBF"/>
    <w:rsid w:val="00C1131D"/>
    <w:rsid w:val="00C12F5F"/>
    <w:rsid w:val="00C13462"/>
    <w:rsid w:val="00C15A4D"/>
    <w:rsid w:val="00C17AA6"/>
    <w:rsid w:val="00C21C3F"/>
    <w:rsid w:val="00C22F61"/>
    <w:rsid w:val="00C24074"/>
    <w:rsid w:val="00C245C2"/>
    <w:rsid w:val="00C3142D"/>
    <w:rsid w:val="00C32026"/>
    <w:rsid w:val="00C33382"/>
    <w:rsid w:val="00C346C0"/>
    <w:rsid w:val="00C35124"/>
    <w:rsid w:val="00C37AE2"/>
    <w:rsid w:val="00C40EAC"/>
    <w:rsid w:val="00C4162D"/>
    <w:rsid w:val="00C4163B"/>
    <w:rsid w:val="00C421FC"/>
    <w:rsid w:val="00C46654"/>
    <w:rsid w:val="00C46E01"/>
    <w:rsid w:val="00C475FD"/>
    <w:rsid w:val="00C47645"/>
    <w:rsid w:val="00C50165"/>
    <w:rsid w:val="00C527A4"/>
    <w:rsid w:val="00C56E4E"/>
    <w:rsid w:val="00C574F9"/>
    <w:rsid w:val="00C5766B"/>
    <w:rsid w:val="00C57D16"/>
    <w:rsid w:val="00C57F74"/>
    <w:rsid w:val="00C57FB0"/>
    <w:rsid w:val="00C62824"/>
    <w:rsid w:val="00C72767"/>
    <w:rsid w:val="00C75840"/>
    <w:rsid w:val="00C76863"/>
    <w:rsid w:val="00C76BBA"/>
    <w:rsid w:val="00C776CC"/>
    <w:rsid w:val="00C777B1"/>
    <w:rsid w:val="00C77E4B"/>
    <w:rsid w:val="00C77FB4"/>
    <w:rsid w:val="00C80057"/>
    <w:rsid w:val="00C82DB2"/>
    <w:rsid w:val="00C83836"/>
    <w:rsid w:val="00C86BC5"/>
    <w:rsid w:val="00C911AC"/>
    <w:rsid w:val="00C91AF1"/>
    <w:rsid w:val="00C930BC"/>
    <w:rsid w:val="00C9777B"/>
    <w:rsid w:val="00CA0AF6"/>
    <w:rsid w:val="00CA1270"/>
    <w:rsid w:val="00CA2B29"/>
    <w:rsid w:val="00CA426E"/>
    <w:rsid w:val="00CA5FCC"/>
    <w:rsid w:val="00CA6CD5"/>
    <w:rsid w:val="00CB5576"/>
    <w:rsid w:val="00CB5A01"/>
    <w:rsid w:val="00CB6949"/>
    <w:rsid w:val="00CC01E1"/>
    <w:rsid w:val="00CC1FE0"/>
    <w:rsid w:val="00CC46EC"/>
    <w:rsid w:val="00CC5190"/>
    <w:rsid w:val="00CC68BE"/>
    <w:rsid w:val="00CD1162"/>
    <w:rsid w:val="00CD27C2"/>
    <w:rsid w:val="00CD480B"/>
    <w:rsid w:val="00CD51E6"/>
    <w:rsid w:val="00CD5E3F"/>
    <w:rsid w:val="00CD70B9"/>
    <w:rsid w:val="00CE0C2B"/>
    <w:rsid w:val="00CE4007"/>
    <w:rsid w:val="00CE7655"/>
    <w:rsid w:val="00CF6E60"/>
    <w:rsid w:val="00CF7D8C"/>
    <w:rsid w:val="00D02695"/>
    <w:rsid w:val="00D02AA8"/>
    <w:rsid w:val="00D046A4"/>
    <w:rsid w:val="00D049A5"/>
    <w:rsid w:val="00D0533A"/>
    <w:rsid w:val="00D06296"/>
    <w:rsid w:val="00D06557"/>
    <w:rsid w:val="00D074CD"/>
    <w:rsid w:val="00D11515"/>
    <w:rsid w:val="00D15B1E"/>
    <w:rsid w:val="00D1662D"/>
    <w:rsid w:val="00D2033D"/>
    <w:rsid w:val="00D26F69"/>
    <w:rsid w:val="00D35F8E"/>
    <w:rsid w:val="00D402D1"/>
    <w:rsid w:val="00D43361"/>
    <w:rsid w:val="00D46278"/>
    <w:rsid w:val="00D47CD0"/>
    <w:rsid w:val="00D53BE4"/>
    <w:rsid w:val="00D57C44"/>
    <w:rsid w:val="00D6150A"/>
    <w:rsid w:val="00D64E5E"/>
    <w:rsid w:val="00D66005"/>
    <w:rsid w:val="00D664AB"/>
    <w:rsid w:val="00D66868"/>
    <w:rsid w:val="00D70BF9"/>
    <w:rsid w:val="00D72943"/>
    <w:rsid w:val="00D74813"/>
    <w:rsid w:val="00D74C36"/>
    <w:rsid w:val="00D762DF"/>
    <w:rsid w:val="00D76E40"/>
    <w:rsid w:val="00D82330"/>
    <w:rsid w:val="00D845BF"/>
    <w:rsid w:val="00D855EE"/>
    <w:rsid w:val="00D902E6"/>
    <w:rsid w:val="00D903DB"/>
    <w:rsid w:val="00D90833"/>
    <w:rsid w:val="00D91CA6"/>
    <w:rsid w:val="00D975A2"/>
    <w:rsid w:val="00DA1A12"/>
    <w:rsid w:val="00DA1DEE"/>
    <w:rsid w:val="00DA367A"/>
    <w:rsid w:val="00DA3D88"/>
    <w:rsid w:val="00DA669F"/>
    <w:rsid w:val="00DA705A"/>
    <w:rsid w:val="00DB0D34"/>
    <w:rsid w:val="00DB1376"/>
    <w:rsid w:val="00DB1485"/>
    <w:rsid w:val="00DB443C"/>
    <w:rsid w:val="00DB6536"/>
    <w:rsid w:val="00DB7C80"/>
    <w:rsid w:val="00DC02AF"/>
    <w:rsid w:val="00DC2520"/>
    <w:rsid w:val="00DC4186"/>
    <w:rsid w:val="00DC43A6"/>
    <w:rsid w:val="00DC7A24"/>
    <w:rsid w:val="00DD0138"/>
    <w:rsid w:val="00DD019E"/>
    <w:rsid w:val="00DD2F9B"/>
    <w:rsid w:val="00DD4D98"/>
    <w:rsid w:val="00DD51DD"/>
    <w:rsid w:val="00DD56E0"/>
    <w:rsid w:val="00DD5C4E"/>
    <w:rsid w:val="00DE0284"/>
    <w:rsid w:val="00DE051F"/>
    <w:rsid w:val="00DE2836"/>
    <w:rsid w:val="00DE3762"/>
    <w:rsid w:val="00DE4270"/>
    <w:rsid w:val="00DE49C8"/>
    <w:rsid w:val="00DE5EE7"/>
    <w:rsid w:val="00DE67AF"/>
    <w:rsid w:val="00DE67C6"/>
    <w:rsid w:val="00DE6EB8"/>
    <w:rsid w:val="00DE7B90"/>
    <w:rsid w:val="00DF03CF"/>
    <w:rsid w:val="00DF1EE0"/>
    <w:rsid w:val="00DF1F00"/>
    <w:rsid w:val="00DF306A"/>
    <w:rsid w:val="00DF36CC"/>
    <w:rsid w:val="00E01F29"/>
    <w:rsid w:val="00E05410"/>
    <w:rsid w:val="00E055E4"/>
    <w:rsid w:val="00E10484"/>
    <w:rsid w:val="00E1313E"/>
    <w:rsid w:val="00E16292"/>
    <w:rsid w:val="00E17D7C"/>
    <w:rsid w:val="00E17EDF"/>
    <w:rsid w:val="00E20E3B"/>
    <w:rsid w:val="00E2147E"/>
    <w:rsid w:val="00E23211"/>
    <w:rsid w:val="00E30940"/>
    <w:rsid w:val="00E329FA"/>
    <w:rsid w:val="00E34392"/>
    <w:rsid w:val="00E346FC"/>
    <w:rsid w:val="00E35202"/>
    <w:rsid w:val="00E415C0"/>
    <w:rsid w:val="00E421DA"/>
    <w:rsid w:val="00E422B1"/>
    <w:rsid w:val="00E444AA"/>
    <w:rsid w:val="00E44898"/>
    <w:rsid w:val="00E469DD"/>
    <w:rsid w:val="00E52019"/>
    <w:rsid w:val="00E54E71"/>
    <w:rsid w:val="00E5523E"/>
    <w:rsid w:val="00E57341"/>
    <w:rsid w:val="00E6133E"/>
    <w:rsid w:val="00E6384E"/>
    <w:rsid w:val="00E645CC"/>
    <w:rsid w:val="00E646A1"/>
    <w:rsid w:val="00E71E08"/>
    <w:rsid w:val="00E7543D"/>
    <w:rsid w:val="00E77ABD"/>
    <w:rsid w:val="00E81085"/>
    <w:rsid w:val="00E813E3"/>
    <w:rsid w:val="00E81713"/>
    <w:rsid w:val="00E82268"/>
    <w:rsid w:val="00E82D64"/>
    <w:rsid w:val="00E85306"/>
    <w:rsid w:val="00E85DDB"/>
    <w:rsid w:val="00E87317"/>
    <w:rsid w:val="00E87846"/>
    <w:rsid w:val="00E901F2"/>
    <w:rsid w:val="00E93106"/>
    <w:rsid w:val="00E93203"/>
    <w:rsid w:val="00E94809"/>
    <w:rsid w:val="00E964DD"/>
    <w:rsid w:val="00E96C11"/>
    <w:rsid w:val="00EA0253"/>
    <w:rsid w:val="00EA2675"/>
    <w:rsid w:val="00EA6453"/>
    <w:rsid w:val="00EB0A27"/>
    <w:rsid w:val="00EB1B80"/>
    <w:rsid w:val="00EB429C"/>
    <w:rsid w:val="00EB46CF"/>
    <w:rsid w:val="00EB68E8"/>
    <w:rsid w:val="00EB71EC"/>
    <w:rsid w:val="00EC0821"/>
    <w:rsid w:val="00EC0CF0"/>
    <w:rsid w:val="00EC17B8"/>
    <w:rsid w:val="00EC1DA8"/>
    <w:rsid w:val="00EC2D95"/>
    <w:rsid w:val="00EC4C3E"/>
    <w:rsid w:val="00EC4EED"/>
    <w:rsid w:val="00EC5D5E"/>
    <w:rsid w:val="00EC6305"/>
    <w:rsid w:val="00EC6945"/>
    <w:rsid w:val="00EC6F54"/>
    <w:rsid w:val="00EC7A96"/>
    <w:rsid w:val="00EC7EDC"/>
    <w:rsid w:val="00ED01D5"/>
    <w:rsid w:val="00ED0EA7"/>
    <w:rsid w:val="00ED1874"/>
    <w:rsid w:val="00ED32F1"/>
    <w:rsid w:val="00ED363B"/>
    <w:rsid w:val="00ED3820"/>
    <w:rsid w:val="00EE3F62"/>
    <w:rsid w:val="00EE4828"/>
    <w:rsid w:val="00EE618D"/>
    <w:rsid w:val="00EE7291"/>
    <w:rsid w:val="00EE72D4"/>
    <w:rsid w:val="00EF0B7B"/>
    <w:rsid w:val="00EF1431"/>
    <w:rsid w:val="00EF359B"/>
    <w:rsid w:val="00EF404D"/>
    <w:rsid w:val="00F03286"/>
    <w:rsid w:val="00F036C5"/>
    <w:rsid w:val="00F0392C"/>
    <w:rsid w:val="00F04267"/>
    <w:rsid w:val="00F068AE"/>
    <w:rsid w:val="00F110ED"/>
    <w:rsid w:val="00F147E6"/>
    <w:rsid w:val="00F15456"/>
    <w:rsid w:val="00F171E1"/>
    <w:rsid w:val="00F21939"/>
    <w:rsid w:val="00F225E3"/>
    <w:rsid w:val="00F22A40"/>
    <w:rsid w:val="00F238CF"/>
    <w:rsid w:val="00F24920"/>
    <w:rsid w:val="00F256FC"/>
    <w:rsid w:val="00F2615C"/>
    <w:rsid w:val="00F40A0A"/>
    <w:rsid w:val="00F4211D"/>
    <w:rsid w:val="00F43A6A"/>
    <w:rsid w:val="00F50793"/>
    <w:rsid w:val="00F51789"/>
    <w:rsid w:val="00F53A00"/>
    <w:rsid w:val="00F53E2A"/>
    <w:rsid w:val="00F55786"/>
    <w:rsid w:val="00F55AED"/>
    <w:rsid w:val="00F56DCE"/>
    <w:rsid w:val="00F57F2A"/>
    <w:rsid w:val="00F606BF"/>
    <w:rsid w:val="00F61533"/>
    <w:rsid w:val="00F6170D"/>
    <w:rsid w:val="00F64530"/>
    <w:rsid w:val="00F70FAA"/>
    <w:rsid w:val="00F71180"/>
    <w:rsid w:val="00F71F0C"/>
    <w:rsid w:val="00F7637B"/>
    <w:rsid w:val="00F767A8"/>
    <w:rsid w:val="00F8317B"/>
    <w:rsid w:val="00F84F37"/>
    <w:rsid w:val="00F863A5"/>
    <w:rsid w:val="00F86504"/>
    <w:rsid w:val="00F865B3"/>
    <w:rsid w:val="00F91B1D"/>
    <w:rsid w:val="00F9656B"/>
    <w:rsid w:val="00F976C1"/>
    <w:rsid w:val="00FA06BF"/>
    <w:rsid w:val="00FA3039"/>
    <w:rsid w:val="00FA7207"/>
    <w:rsid w:val="00FB0C95"/>
    <w:rsid w:val="00FB0D19"/>
    <w:rsid w:val="00FB1325"/>
    <w:rsid w:val="00FC2F0D"/>
    <w:rsid w:val="00FC3948"/>
    <w:rsid w:val="00FC4F9E"/>
    <w:rsid w:val="00FC60F7"/>
    <w:rsid w:val="00FC62B1"/>
    <w:rsid w:val="00FC76C8"/>
    <w:rsid w:val="00FD596B"/>
    <w:rsid w:val="00FD7043"/>
    <w:rsid w:val="00FD7705"/>
    <w:rsid w:val="00FE0A4A"/>
    <w:rsid w:val="00FE3BA4"/>
    <w:rsid w:val="00FE3F17"/>
    <w:rsid w:val="00FE4F74"/>
    <w:rsid w:val="00FF2286"/>
    <w:rsid w:val="00FF68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9810">
      <o:colormenu v:ext="edit" fillcolor="none" strokecolor="#c00000"/>
    </o:shapedefaults>
    <o:shapelayout v:ext="edit">
      <o:idmap v:ext="edit" data="1"/>
      <o:rules v:ext="edit">
        <o:r id="V:Rule73" type="connector" idref="#_x0000_s1440"/>
        <o:r id="V:Rule74" type="connector" idref="#_x0000_s1659"/>
        <o:r id="V:Rule75" type="connector" idref="#_x0000_s1446"/>
        <o:r id="V:Rule76" type="connector" idref="#_x0000_s1448"/>
        <o:r id="V:Rule77" type="connector" idref="#_x0000_s1435"/>
        <o:r id="V:Rule78" type="connector" idref="#_x0000_s1660"/>
        <o:r id="V:Rule79" type="connector" idref="#_x0000_s1449"/>
        <o:r id="V:Rule80" type="connector" idref="#_x0000_s1426"/>
        <o:r id="V:Rule81" type="connector" idref="#_x0000_s1588"/>
        <o:r id="V:Rule82" type="connector" idref="#_x0000_s1441"/>
        <o:r id="V:Rule83" type="connector" idref="#_x0000_s1662"/>
        <o:r id="V:Rule84" type="connector" idref="#_x0000_s1430"/>
        <o:r id="V:Rule85" type="connector" idref="#_x0000_s1579"/>
        <o:r id="V:Rule86" type="connector" idref="#_x0000_s1661"/>
        <o:r id="V:Rule87" type="connector" idref="#_x0000_s1444"/>
        <o:r id="V:Rule88" type="connector" idref="#_x0000_s1578"/>
        <o:r id="V:Rule89" type="connector" idref="#_x0000_s1424"/>
        <o:r id="V:Rule90" type="connector" idref="#_x0000_s1447"/>
        <o:r id="V:Rule91" type="connector" idref="#_x0000_s1425"/>
        <o:r id="V:Rule92" type="connector" idref="#_x0000_s1621"/>
        <o:r id="V:Rule93" type="connector" idref="#_x0000_s1630"/>
        <o:r id="V:Rule94" type="connector" idref="#_x0000_s1450"/>
        <o:r id="V:Rule95" type="connector" idref="#_x0000_s1618"/>
        <o:r id="V:Rule96" type="connector" idref="#_x0000_s1575"/>
        <o:r id="V:Rule97" type="connector" idref="#_x0000_s1663"/>
        <o:r id="V:Rule98" type="connector" idref="#_x0000_s1432"/>
        <o:r id="V:Rule99" type="connector" idref="#_x0000_s1429"/>
        <o:r id="V:Rule100" type="connector" idref="#_x0000_s1491"/>
        <o:r id="V:Rule101" type="connector" idref="#_x0000_s1658"/>
        <o:r id="V:Rule102" type="connector" idref="#_x0000_s1473"/>
        <o:r id="V:Rule103" type="connector" idref="#_x0000_s1433"/>
        <o:r id="V:Rule104" type="connector" idref="#_x0000_s1624"/>
        <o:r id="V:Rule105" type="connector" idref="#_x0000_s1657"/>
        <o:r id="V:Rule106" type="connector" idref="#_x0000_s1664"/>
        <o:r id="V:Rule107" type="connector" idref="#_x0000_s1493"/>
        <o:r id="V:Rule108" type="connector" idref="#_x0000_s1625"/>
        <o:r id="V:Rule109" type="connector" idref="#_x0000_s1434"/>
        <o:r id="V:Rule110" type="connector" idref="#_x0000_s1619"/>
        <o:r id="V:Rule111" type="connector" idref="#_x0000_s1472"/>
        <o:r id="V:Rule112" type="connector" idref="#_x0000_s1471"/>
        <o:r id="V:Rule113" type="connector" idref="#_x0000_s1623"/>
        <o:r id="V:Rule114" type="connector" idref="#_x0000_s1474"/>
        <o:r id="V:Rule115" type="connector" idref="#_x0000_s1576"/>
        <o:r id="V:Rule116" type="connector" idref="#_x0000_s1622"/>
        <o:r id="V:Rule117" type="connector" idref="#_x0000_s1620"/>
        <o:r id="V:Rule118" type="connector" idref="#_x0000_s1629"/>
        <o:r id="V:Rule119" type="connector" idref="#_x0000_s1439"/>
        <o:r id="V:Rule120" type="connector" idref="#_x0000_s1606"/>
        <o:r id="V:Rule121" type="connector" idref="#_x0000_s1443"/>
        <o:r id="V:Rule122" type="connector" idref="#_x0000_s1616"/>
        <o:r id="V:Rule123" type="connector" idref="#_x0000_s1632"/>
        <o:r id="V:Rule124" type="connector" idref="#_x0000_s1427"/>
        <o:r id="V:Rule125" type="connector" idref="#_x0000_s1654"/>
        <o:r id="V:Rule126" type="connector" idref="#_x0000_s1607"/>
        <o:r id="V:Rule127" type="connector" idref="#_x0000_s1431"/>
        <o:r id="V:Rule128" type="connector" idref="#_x0000_s1628"/>
        <o:r id="V:Rule129" type="connector" idref="#_x0000_s1608"/>
        <o:r id="V:Rule130" type="connector" idref="#_x0000_s1595"/>
        <o:r id="V:Rule131" type="connector" idref="#_x0000_s1428"/>
        <o:r id="V:Rule132" type="connector" idref="#_x0000_s1589"/>
        <o:r id="V:Rule133" type="connector" idref="#_x0000_s1605"/>
        <o:r id="V:Rule134" type="connector" idref="#_x0000_s1615"/>
        <o:r id="V:Rule135" type="connector" idref="#_x0000_s1655"/>
        <o:r id="V:Rule136" type="connector" idref="#_x0000_s1590"/>
        <o:r id="V:Rule137" type="connector" idref="#_x0000_s1631"/>
        <o:r id="V:Rule138" type="connector" idref="#_x0000_s1423"/>
        <o:r id="V:Rule139" type="connector" idref="#_x0000_s1653"/>
        <o:r id="V:Rule140" type="connector" idref="#_x0000_s1475"/>
        <o:r id="V:Rule141" type="connector" idref="#_x0000_s1640"/>
        <o:r id="V:Rule142" type="connector" idref="#_x0000_s1438"/>
        <o:r id="V:Rule143" type="connector" idref="#_x0000_s1445"/>
        <o:r id="V:Rule144" type="connector" idref="#_x0000_s15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13E7E"/>
    <w:pPr>
      <w:widowControl w:val="0"/>
      <w:suppressAutoHyphens/>
    </w:pPr>
    <w:rPr>
      <w:rFonts w:cs="Arial Unicode MS"/>
      <w:kern w:val="1"/>
      <w:sz w:val="24"/>
      <w:szCs w:val="24"/>
      <w:lang w:eastAsia="zh-CN" w:bidi="hi-IN"/>
    </w:rPr>
  </w:style>
  <w:style w:type="paragraph" w:styleId="Titre1">
    <w:name w:val="heading 1"/>
    <w:basedOn w:val="Normal"/>
    <w:next w:val="Normal"/>
    <w:link w:val="Titre1Car"/>
    <w:uiPriority w:val="9"/>
    <w:rsid w:val="00A42F1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Titre2">
    <w:name w:val="heading 2"/>
    <w:basedOn w:val="Normal"/>
    <w:next w:val="Normal"/>
    <w:link w:val="Titre2Car"/>
    <w:uiPriority w:val="9"/>
    <w:semiHidden/>
    <w:unhideWhenUsed/>
    <w:rsid w:val="00A42F11"/>
    <w:pPr>
      <w:keepNext/>
      <w:keepLines/>
      <w:spacing w:before="200"/>
      <w:outlineLvl w:val="1"/>
    </w:pPr>
    <w:rPr>
      <w:rFonts w:asciiTheme="majorHAnsi" w:eastAsiaTheme="majorEastAsia" w:hAnsiTheme="majorHAnsi" w:cs="Mangal"/>
      <w:b/>
      <w:bCs/>
      <w:color w:val="4F81BD" w:themeColor="accent1"/>
      <w:sz w:val="26"/>
      <w:szCs w:val="23"/>
    </w:rPr>
  </w:style>
  <w:style w:type="paragraph" w:styleId="Titre3">
    <w:name w:val="heading 3"/>
    <w:basedOn w:val="Normal"/>
    <w:next w:val="Normal"/>
    <w:link w:val="Titre3Car"/>
    <w:uiPriority w:val="9"/>
    <w:semiHidden/>
    <w:unhideWhenUsed/>
    <w:qFormat/>
    <w:rsid w:val="00A42F11"/>
    <w:pPr>
      <w:keepNext/>
      <w:keepLines/>
      <w:spacing w:before="200"/>
      <w:outlineLvl w:val="2"/>
    </w:pPr>
    <w:rPr>
      <w:rFonts w:asciiTheme="majorHAnsi" w:eastAsiaTheme="majorEastAsia" w:hAnsiTheme="majorHAnsi" w:cs="Mangal"/>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rsid w:val="00913E7E"/>
    <w:pPr>
      <w:suppressLineNumbers/>
      <w:spacing w:before="120" w:after="120"/>
    </w:pPr>
    <w:rPr>
      <w:i/>
      <w:iCs/>
    </w:rPr>
  </w:style>
  <w:style w:type="paragraph" w:customStyle="1" w:styleId="Doc-corpsdetexte">
    <w:name w:val="Doc-corps de texte"/>
    <w:basedOn w:val="Normal"/>
    <w:qFormat/>
    <w:rsid w:val="009D7296"/>
    <w:pPr>
      <w:spacing w:after="60" w:line="300" w:lineRule="auto"/>
      <w:ind w:firstLine="340"/>
      <w:jc w:val="both"/>
    </w:pPr>
    <w:rPr>
      <w:rFonts w:asciiTheme="minorHAnsi" w:hAnsiTheme="minorHAnsi" w:cs="Optima"/>
    </w:rPr>
  </w:style>
  <w:style w:type="paragraph" w:customStyle="1" w:styleId="Doc-titre1">
    <w:name w:val="Doc-titre1"/>
    <w:basedOn w:val="Doc-corpsdetexte"/>
    <w:qFormat/>
    <w:rsid w:val="00A57324"/>
    <w:pPr>
      <w:pBdr>
        <w:bottom w:val="single" w:sz="4" w:space="1" w:color="003300"/>
      </w:pBdr>
      <w:shd w:val="clear" w:color="auto" w:fill="D6E3BC" w:themeFill="accent3" w:themeFillTint="66"/>
      <w:spacing w:after="480" w:line="240" w:lineRule="auto"/>
      <w:ind w:firstLine="0"/>
      <w:outlineLvl w:val="0"/>
    </w:pPr>
    <w:rPr>
      <w:b/>
      <w:smallCaps/>
      <w:color w:val="003300"/>
      <w:kern w:val="24"/>
      <w:sz w:val="32"/>
      <w:szCs w:val="32"/>
    </w:rPr>
  </w:style>
  <w:style w:type="paragraph" w:customStyle="1" w:styleId="Doc-titre2">
    <w:name w:val="Doc-titre2"/>
    <w:basedOn w:val="Doc-corpsdetexte"/>
    <w:qFormat/>
    <w:rsid w:val="00421E82"/>
    <w:pPr>
      <w:numPr>
        <w:numId w:val="18"/>
      </w:numPr>
      <w:spacing w:after="240" w:line="240" w:lineRule="auto"/>
    </w:pPr>
    <w:rPr>
      <w:b/>
      <w:sz w:val="32"/>
    </w:rPr>
  </w:style>
  <w:style w:type="paragraph" w:customStyle="1" w:styleId="Doc-titre3">
    <w:name w:val="Doc-titre3"/>
    <w:basedOn w:val="Doc-corpsdetexte"/>
    <w:qFormat/>
    <w:rsid w:val="00421E82"/>
    <w:pPr>
      <w:numPr>
        <w:ilvl w:val="1"/>
        <w:numId w:val="18"/>
      </w:numPr>
      <w:spacing w:before="240" w:after="120" w:line="240" w:lineRule="auto"/>
    </w:pPr>
    <w:rPr>
      <w:b/>
      <w:sz w:val="28"/>
    </w:rPr>
  </w:style>
  <w:style w:type="paragraph" w:customStyle="1" w:styleId="Doc-titre4">
    <w:name w:val="Doc-titre4"/>
    <w:basedOn w:val="Doc-corpsdetexte"/>
    <w:qFormat/>
    <w:rsid w:val="0087021C"/>
    <w:pPr>
      <w:numPr>
        <w:ilvl w:val="2"/>
        <w:numId w:val="18"/>
      </w:numPr>
      <w:tabs>
        <w:tab w:val="left" w:pos="6180"/>
      </w:tabs>
      <w:spacing w:before="120" w:line="240" w:lineRule="auto"/>
    </w:pPr>
    <w:rPr>
      <w:i/>
      <w:iCs/>
      <w:noProof/>
      <w:sz w:val="28"/>
      <w:u w:val="single"/>
      <w:lang w:eastAsia="fr-FR" w:bidi="ar-SA"/>
    </w:rPr>
  </w:style>
  <w:style w:type="paragraph" w:customStyle="1" w:styleId="Doc-titre5">
    <w:name w:val="Doc-titre5"/>
    <w:basedOn w:val="Doc-corpsdetexte"/>
    <w:qFormat/>
    <w:rsid w:val="00ED01D5"/>
    <w:pPr>
      <w:spacing w:before="120"/>
      <w:ind w:firstLine="0"/>
    </w:pPr>
    <w:rPr>
      <w:i/>
      <w:u w:val="single"/>
    </w:rPr>
  </w:style>
  <w:style w:type="paragraph" w:customStyle="1" w:styleId="Doc-Entte">
    <w:name w:val="Doc-Entête"/>
    <w:basedOn w:val="Normal"/>
    <w:qFormat/>
    <w:rsid w:val="00C024A7"/>
    <w:pPr>
      <w:suppressLineNumbers/>
      <w:tabs>
        <w:tab w:val="right" w:pos="14855"/>
      </w:tabs>
      <w:ind w:left="-567" w:right="-567"/>
    </w:pPr>
    <w:rPr>
      <w:rFonts w:asciiTheme="minorHAnsi" w:hAnsiTheme="minorHAnsi" w:cs="Optima"/>
      <w:sz w:val="20"/>
      <w:szCs w:val="20"/>
    </w:rPr>
  </w:style>
  <w:style w:type="paragraph" w:styleId="En-tte">
    <w:name w:val="header"/>
    <w:next w:val="Doc-Entte"/>
    <w:link w:val="En-tteCar"/>
    <w:uiPriority w:val="99"/>
    <w:unhideWhenUsed/>
    <w:rsid w:val="00913E7E"/>
    <w:pPr>
      <w:tabs>
        <w:tab w:val="center" w:pos="4536"/>
        <w:tab w:val="right" w:pos="9072"/>
      </w:tabs>
    </w:pPr>
    <w:rPr>
      <w:rFonts w:cs="Mangal"/>
      <w:szCs w:val="21"/>
    </w:rPr>
  </w:style>
  <w:style w:type="character" w:customStyle="1" w:styleId="En-tteCar">
    <w:name w:val="En-tête Car"/>
    <w:basedOn w:val="Policepardfaut"/>
    <w:link w:val="En-tte"/>
    <w:uiPriority w:val="99"/>
    <w:rsid w:val="00913E7E"/>
    <w:rPr>
      <w:rFonts w:eastAsia="Arial Unicode MS" w:cs="Mangal"/>
      <w:kern w:val="1"/>
      <w:sz w:val="24"/>
      <w:szCs w:val="21"/>
      <w:lang w:eastAsia="zh-CN" w:bidi="hi-IN"/>
    </w:rPr>
  </w:style>
  <w:style w:type="paragraph" w:customStyle="1" w:styleId="Doc-Pied">
    <w:name w:val="Doc-Pied"/>
    <w:basedOn w:val="Pieddepage"/>
    <w:qFormat/>
    <w:rsid w:val="00913E7E"/>
    <w:pPr>
      <w:suppressLineNumbers/>
      <w:tabs>
        <w:tab w:val="clear" w:pos="4536"/>
        <w:tab w:val="clear" w:pos="9072"/>
        <w:tab w:val="center" w:pos="5103"/>
        <w:tab w:val="right" w:pos="10206"/>
      </w:tabs>
    </w:pPr>
    <w:rPr>
      <w:rFonts w:asciiTheme="minorHAnsi" w:hAnsiTheme="minorHAnsi" w:cs="Optima"/>
      <w:color w:val="4C4C4C"/>
      <w:sz w:val="20"/>
      <w:szCs w:val="20"/>
    </w:rPr>
  </w:style>
  <w:style w:type="paragraph" w:styleId="Pieddepage">
    <w:name w:val="footer"/>
    <w:basedOn w:val="Normal"/>
    <w:link w:val="PieddepageCar"/>
    <w:uiPriority w:val="99"/>
    <w:semiHidden/>
    <w:unhideWhenUsed/>
    <w:rsid w:val="00913E7E"/>
    <w:pPr>
      <w:tabs>
        <w:tab w:val="center" w:pos="4536"/>
        <w:tab w:val="right" w:pos="9072"/>
      </w:tabs>
    </w:pPr>
    <w:rPr>
      <w:rFonts w:cs="Mangal"/>
      <w:szCs w:val="21"/>
    </w:rPr>
  </w:style>
  <w:style w:type="character" w:customStyle="1" w:styleId="PieddepageCar">
    <w:name w:val="Pied de page Car"/>
    <w:basedOn w:val="Policepardfaut"/>
    <w:link w:val="Pieddepage"/>
    <w:uiPriority w:val="99"/>
    <w:semiHidden/>
    <w:rsid w:val="00913E7E"/>
    <w:rPr>
      <w:rFonts w:eastAsia="Arial Unicode MS" w:cs="Mangal"/>
      <w:kern w:val="1"/>
      <w:sz w:val="24"/>
      <w:szCs w:val="21"/>
      <w:lang w:eastAsia="zh-CN" w:bidi="hi-IN"/>
    </w:rPr>
  </w:style>
  <w:style w:type="paragraph" w:styleId="Textedebulles">
    <w:name w:val="Balloon Text"/>
    <w:basedOn w:val="Normal"/>
    <w:link w:val="TextedebullesCar"/>
    <w:uiPriority w:val="99"/>
    <w:semiHidden/>
    <w:unhideWhenUsed/>
    <w:rsid w:val="00612D2B"/>
    <w:rPr>
      <w:rFonts w:ascii="Tahoma" w:hAnsi="Tahoma" w:cs="Mangal"/>
      <w:sz w:val="16"/>
      <w:szCs w:val="14"/>
    </w:rPr>
  </w:style>
  <w:style w:type="character" w:customStyle="1" w:styleId="TextedebullesCar">
    <w:name w:val="Texte de bulles Car"/>
    <w:basedOn w:val="Policepardfaut"/>
    <w:link w:val="Textedebulles"/>
    <w:uiPriority w:val="99"/>
    <w:semiHidden/>
    <w:rsid w:val="00612D2B"/>
    <w:rPr>
      <w:rFonts w:ascii="Tahoma" w:hAnsi="Tahoma" w:cs="Mangal"/>
      <w:kern w:val="1"/>
      <w:sz w:val="16"/>
      <w:szCs w:val="14"/>
      <w:lang w:eastAsia="zh-CN" w:bidi="hi-IN"/>
    </w:rPr>
  </w:style>
  <w:style w:type="paragraph" w:styleId="Sansinterligne">
    <w:name w:val="No Spacing"/>
    <w:link w:val="SansinterligneCar"/>
    <w:uiPriority w:val="1"/>
    <w:rsid w:val="00533E0F"/>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533E0F"/>
    <w:rPr>
      <w:rFonts w:asciiTheme="minorHAnsi" w:eastAsiaTheme="minorEastAsia" w:hAnsiTheme="minorHAnsi" w:cstheme="minorBidi"/>
      <w:sz w:val="22"/>
      <w:szCs w:val="22"/>
      <w:lang w:eastAsia="en-US"/>
    </w:rPr>
  </w:style>
  <w:style w:type="character" w:customStyle="1" w:styleId="Titre1Car">
    <w:name w:val="Titre 1 Car"/>
    <w:basedOn w:val="Policepardfaut"/>
    <w:link w:val="Titre1"/>
    <w:uiPriority w:val="9"/>
    <w:rsid w:val="00A42F11"/>
    <w:rPr>
      <w:rFonts w:asciiTheme="majorHAnsi" w:eastAsiaTheme="majorEastAsia" w:hAnsiTheme="majorHAnsi" w:cs="Mangal"/>
      <w:b/>
      <w:bCs/>
      <w:color w:val="365F91" w:themeColor="accent1" w:themeShade="BF"/>
      <w:kern w:val="1"/>
      <w:sz w:val="28"/>
      <w:szCs w:val="25"/>
      <w:lang w:eastAsia="zh-CN" w:bidi="hi-IN"/>
    </w:rPr>
  </w:style>
  <w:style w:type="paragraph" w:styleId="En-ttedetabledesmatires">
    <w:name w:val="TOC Heading"/>
    <w:basedOn w:val="Titre1"/>
    <w:next w:val="Normal"/>
    <w:uiPriority w:val="39"/>
    <w:unhideWhenUsed/>
    <w:rsid w:val="00A42F11"/>
    <w:pPr>
      <w:widowControl/>
      <w:suppressAutoHyphens w:val="0"/>
      <w:spacing w:line="276" w:lineRule="auto"/>
      <w:outlineLvl w:val="9"/>
    </w:pPr>
    <w:rPr>
      <w:rFonts w:cstheme="majorBidi"/>
      <w:kern w:val="0"/>
      <w:szCs w:val="28"/>
      <w:lang w:eastAsia="en-US" w:bidi="ar-SA"/>
    </w:rPr>
  </w:style>
  <w:style w:type="paragraph" w:styleId="TM2">
    <w:name w:val="toc 2"/>
    <w:basedOn w:val="Normal"/>
    <w:next w:val="Normal"/>
    <w:autoRedefine/>
    <w:uiPriority w:val="39"/>
    <w:unhideWhenUsed/>
    <w:rsid w:val="002F29FE"/>
    <w:pPr>
      <w:tabs>
        <w:tab w:val="right" w:leader="hyphen" w:pos="14317"/>
      </w:tabs>
      <w:spacing w:before="60"/>
      <w:ind w:left="340"/>
      <w:outlineLvl w:val="0"/>
    </w:pPr>
    <w:rPr>
      <w:rFonts w:asciiTheme="minorHAnsi" w:hAnsiTheme="minorHAnsi"/>
      <w:bCs/>
      <w:noProof/>
      <w:kern w:val="20"/>
      <w:szCs w:val="28"/>
    </w:rPr>
  </w:style>
  <w:style w:type="paragraph" w:styleId="TM1">
    <w:name w:val="toc 1"/>
    <w:basedOn w:val="Normal"/>
    <w:next w:val="Normal"/>
    <w:autoRedefine/>
    <w:uiPriority w:val="39"/>
    <w:unhideWhenUsed/>
    <w:rsid w:val="002F29FE"/>
    <w:pPr>
      <w:tabs>
        <w:tab w:val="right" w:leader="hyphen" w:pos="14317"/>
      </w:tabs>
      <w:spacing w:before="120"/>
      <w:outlineLvl w:val="0"/>
    </w:pPr>
    <w:rPr>
      <w:rFonts w:asciiTheme="minorHAnsi" w:hAnsiTheme="minorHAnsi"/>
      <w:b/>
      <w:bCs/>
      <w:noProof/>
      <w:kern w:val="24"/>
      <w:szCs w:val="28"/>
    </w:rPr>
  </w:style>
  <w:style w:type="paragraph" w:styleId="TM3">
    <w:name w:val="toc 3"/>
    <w:basedOn w:val="Normal"/>
    <w:next w:val="Normal"/>
    <w:autoRedefine/>
    <w:uiPriority w:val="39"/>
    <w:unhideWhenUsed/>
    <w:rsid w:val="00DB1485"/>
    <w:pPr>
      <w:tabs>
        <w:tab w:val="right" w:leader="dot" w:pos="14317"/>
      </w:tabs>
      <w:ind w:left="240"/>
      <w:outlineLvl w:val="0"/>
    </w:pPr>
    <w:rPr>
      <w:rFonts w:asciiTheme="minorHAnsi" w:hAnsiTheme="minorHAnsi"/>
      <w:b/>
      <w:noProof/>
    </w:rPr>
  </w:style>
  <w:style w:type="character" w:styleId="Lienhypertexte">
    <w:name w:val="Hyperlink"/>
    <w:basedOn w:val="Policepardfaut"/>
    <w:uiPriority w:val="99"/>
    <w:unhideWhenUsed/>
    <w:rsid w:val="00A42F11"/>
    <w:rPr>
      <w:color w:val="0000FF" w:themeColor="hyperlink"/>
      <w:u w:val="single"/>
    </w:rPr>
  </w:style>
  <w:style w:type="character" w:customStyle="1" w:styleId="Titre2Car">
    <w:name w:val="Titre 2 Car"/>
    <w:basedOn w:val="Policepardfaut"/>
    <w:link w:val="Titre2"/>
    <w:uiPriority w:val="9"/>
    <w:semiHidden/>
    <w:rsid w:val="00A42F11"/>
    <w:rPr>
      <w:rFonts w:asciiTheme="majorHAnsi" w:eastAsiaTheme="majorEastAsia" w:hAnsiTheme="majorHAnsi" w:cs="Mangal"/>
      <w:b/>
      <w:bCs/>
      <w:color w:val="4F81BD" w:themeColor="accent1"/>
      <w:kern w:val="1"/>
      <w:sz w:val="26"/>
      <w:szCs w:val="23"/>
      <w:lang w:eastAsia="zh-CN" w:bidi="hi-IN"/>
    </w:rPr>
  </w:style>
  <w:style w:type="character" w:customStyle="1" w:styleId="Titre3Car">
    <w:name w:val="Titre 3 Car"/>
    <w:basedOn w:val="Policepardfaut"/>
    <w:link w:val="Titre3"/>
    <w:uiPriority w:val="9"/>
    <w:semiHidden/>
    <w:rsid w:val="00A42F11"/>
    <w:rPr>
      <w:rFonts w:asciiTheme="majorHAnsi" w:eastAsiaTheme="majorEastAsia" w:hAnsiTheme="majorHAnsi" w:cs="Mangal"/>
      <w:b/>
      <w:bCs/>
      <w:color w:val="4F81BD" w:themeColor="accent1"/>
      <w:kern w:val="1"/>
      <w:sz w:val="24"/>
      <w:szCs w:val="21"/>
      <w:lang w:eastAsia="zh-CN" w:bidi="hi-IN"/>
    </w:rPr>
  </w:style>
  <w:style w:type="paragraph" w:styleId="TM4">
    <w:name w:val="toc 4"/>
    <w:basedOn w:val="Normal"/>
    <w:next w:val="Normal"/>
    <w:autoRedefine/>
    <w:uiPriority w:val="39"/>
    <w:unhideWhenUsed/>
    <w:rsid w:val="00DB1485"/>
    <w:pPr>
      <w:tabs>
        <w:tab w:val="right" w:leader="hyphen" w:pos="14317"/>
      </w:tabs>
      <w:spacing w:line="360" w:lineRule="auto"/>
      <w:ind w:left="482"/>
      <w:outlineLvl w:val="0"/>
    </w:pPr>
    <w:rPr>
      <w:rFonts w:asciiTheme="minorHAnsi" w:hAnsiTheme="minorHAnsi"/>
      <w:noProof/>
    </w:rPr>
  </w:style>
  <w:style w:type="paragraph" w:styleId="TM5">
    <w:name w:val="toc 5"/>
    <w:basedOn w:val="Normal"/>
    <w:next w:val="Normal"/>
    <w:autoRedefine/>
    <w:uiPriority w:val="39"/>
    <w:unhideWhenUsed/>
    <w:rsid w:val="00F6170D"/>
    <w:pPr>
      <w:ind w:left="720"/>
    </w:pPr>
    <w:rPr>
      <w:rFonts w:asciiTheme="minorHAnsi" w:hAnsiTheme="minorHAnsi"/>
      <w:sz w:val="20"/>
      <w:szCs w:val="20"/>
    </w:rPr>
  </w:style>
  <w:style w:type="paragraph" w:styleId="TM6">
    <w:name w:val="toc 6"/>
    <w:basedOn w:val="Normal"/>
    <w:next w:val="Normal"/>
    <w:autoRedefine/>
    <w:uiPriority w:val="39"/>
    <w:unhideWhenUsed/>
    <w:rsid w:val="00F6170D"/>
    <w:pPr>
      <w:ind w:left="960"/>
    </w:pPr>
    <w:rPr>
      <w:rFonts w:asciiTheme="minorHAnsi" w:hAnsiTheme="minorHAnsi"/>
      <w:sz w:val="20"/>
      <w:szCs w:val="20"/>
    </w:rPr>
  </w:style>
  <w:style w:type="paragraph" w:styleId="TM7">
    <w:name w:val="toc 7"/>
    <w:basedOn w:val="Normal"/>
    <w:next w:val="Normal"/>
    <w:autoRedefine/>
    <w:uiPriority w:val="39"/>
    <w:unhideWhenUsed/>
    <w:rsid w:val="00F6170D"/>
    <w:pPr>
      <w:ind w:left="1200"/>
    </w:pPr>
    <w:rPr>
      <w:rFonts w:asciiTheme="minorHAnsi" w:hAnsiTheme="minorHAnsi"/>
      <w:sz w:val="20"/>
      <w:szCs w:val="20"/>
    </w:rPr>
  </w:style>
  <w:style w:type="paragraph" w:styleId="TM8">
    <w:name w:val="toc 8"/>
    <w:basedOn w:val="Normal"/>
    <w:next w:val="Normal"/>
    <w:autoRedefine/>
    <w:uiPriority w:val="39"/>
    <w:unhideWhenUsed/>
    <w:rsid w:val="00F6170D"/>
    <w:pPr>
      <w:ind w:left="1440"/>
    </w:pPr>
    <w:rPr>
      <w:rFonts w:asciiTheme="minorHAnsi" w:hAnsiTheme="minorHAnsi"/>
      <w:sz w:val="20"/>
      <w:szCs w:val="20"/>
    </w:rPr>
  </w:style>
  <w:style w:type="paragraph" w:styleId="TM9">
    <w:name w:val="toc 9"/>
    <w:basedOn w:val="Normal"/>
    <w:next w:val="Normal"/>
    <w:autoRedefine/>
    <w:uiPriority w:val="39"/>
    <w:unhideWhenUsed/>
    <w:rsid w:val="00F6170D"/>
    <w:pPr>
      <w:ind w:left="1680"/>
    </w:pPr>
    <w:rPr>
      <w:rFonts w:asciiTheme="minorHAnsi" w:hAnsiTheme="minorHAnsi"/>
      <w:sz w:val="20"/>
      <w:szCs w:val="20"/>
    </w:rPr>
  </w:style>
  <w:style w:type="table" w:styleId="Grilledutableau">
    <w:name w:val="Table Grid"/>
    <w:basedOn w:val="TableauNormal"/>
    <w:uiPriority w:val="59"/>
    <w:rsid w:val="000602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ppelnotedebasdep">
    <w:name w:val="footnote reference"/>
    <w:basedOn w:val="Policepardfaut"/>
    <w:rsid w:val="006A2D4E"/>
    <w:rPr>
      <w:vertAlign w:val="superscript"/>
    </w:rPr>
  </w:style>
  <w:style w:type="character" w:customStyle="1" w:styleId="Appeldenote">
    <w:name w:val="Appel de note"/>
    <w:rsid w:val="006A2D4E"/>
    <w:rPr>
      <w:vertAlign w:val="superscript"/>
    </w:rPr>
  </w:style>
  <w:style w:type="paragraph" w:styleId="Notedebasdepage">
    <w:name w:val="footnote text"/>
    <w:basedOn w:val="Normal"/>
    <w:link w:val="NotedebasdepageCar"/>
    <w:rsid w:val="006A2D4E"/>
    <w:pPr>
      <w:suppressLineNumbers/>
      <w:tabs>
        <w:tab w:val="left" w:pos="709"/>
      </w:tabs>
      <w:ind w:left="339" w:hanging="339"/>
    </w:pPr>
    <w:rPr>
      <w:color w:val="00000A"/>
      <w:kern w:val="0"/>
      <w:sz w:val="20"/>
      <w:szCs w:val="20"/>
    </w:rPr>
  </w:style>
  <w:style w:type="character" w:customStyle="1" w:styleId="NotedebasdepageCar">
    <w:name w:val="Note de bas de page Car"/>
    <w:basedOn w:val="Policepardfaut"/>
    <w:link w:val="Notedebasdepage"/>
    <w:rsid w:val="006A2D4E"/>
    <w:rPr>
      <w:rFonts w:cs="Arial Unicode MS"/>
      <w:color w:val="00000A"/>
      <w:lang w:eastAsia="zh-CN" w:bidi="hi-IN"/>
    </w:rPr>
  </w:style>
  <w:style w:type="character" w:customStyle="1" w:styleId="Caractresdenotedebasdepage">
    <w:name w:val="Caractères de note de bas de page"/>
    <w:basedOn w:val="Policepardfaut"/>
    <w:rsid w:val="00A172B8"/>
    <w:rPr>
      <w:vertAlign w:val="superscript"/>
    </w:rPr>
  </w:style>
  <w:style w:type="paragraph" w:styleId="Notedefin">
    <w:name w:val="endnote text"/>
    <w:basedOn w:val="Normal"/>
    <w:link w:val="NotedefinCar"/>
    <w:uiPriority w:val="99"/>
    <w:semiHidden/>
    <w:unhideWhenUsed/>
    <w:rsid w:val="00B604B1"/>
    <w:rPr>
      <w:rFonts w:cs="Mangal"/>
      <w:sz w:val="20"/>
      <w:szCs w:val="18"/>
    </w:rPr>
  </w:style>
  <w:style w:type="character" w:customStyle="1" w:styleId="NotedefinCar">
    <w:name w:val="Note de fin Car"/>
    <w:basedOn w:val="Policepardfaut"/>
    <w:link w:val="Notedefin"/>
    <w:uiPriority w:val="99"/>
    <w:semiHidden/>
    <w:rsid w:val="00B604B1"/>
    <w:rPr>
      <w:rFonts w:cs="Mangal"/>
      <w:kern w:val="1"/>
      <w:szCs w:val="18"/>
      <w:lang w:eastAsia="zh-CN" w:bidi="hi-IN"/>
    </w:rPr>
  </w:style>
  <w:style w:type="character" w:styleId="Appeldenotedefin">
    <w:name w:val="endnote reference"/>
    <w:basedOn w:val="Policepardfaut"/>
    <w:uiPriority w:val="99"/>
    <w:semiHidden/>
    <w:unhideWhenUsed/>
    <w:rsid w:val="00B604B1"/>
    <w:rPr>
      <w:vertAlign w:val="superscript"/>
    </w:rPr>
  </w:style>
  <w:style w:type="character" w:customStyle="1" w:styleId="nowrap">
    <w:name w:val="nowrap"/>
    <w:basedOn w:val="Policepardfaut"/>
    <w:rsid w:val="00C57FB0"/>
  </w:style>
  <w:style w:type="paragraph" w:styleId="Rvision">
    <w:name w:val="Revision"/>
    <w:hidden/>
    <w:uiPriority w:val="99"/>
    <w:semiHidden/>
    <w:rsid w:val="00EE72D4"/>
    <w:rPr>
      <w:rFonts w:cs="Mangal"/>
      <w:kern w:val="1"/>
      <w:sz w:val="24"/>
      <w:szCs w:val="21"/>
      <w:lang w:eastAsia="zh-CN" w:bidi="hi-IN"/>
    </w:rPr>
  </w:style>
  <w:style w:type="character" w:styleId="Lienhypertextesuivivisit">
    <w:name w:val="FollowedHyperlink"/>
    <w:basedOn w:val="Policepardfaut"/>
    <w:uiPriority w:val="99"/>
    <w:semiHidden/>
    <w:unhideWhenUsed/>
    <w:rsid w:val="00B66A89"/>
    <w:rPr>
      <w:color w:val="800080" w:themeColor="followedHyperlink"/>
      <w:u w:val="single"/>
    </w:rPr>
  </w:style>
  <w:style w:type="character" w:customStyle="1" w:styleId="citation">
    <w:name w:val="citation"/>
    <w:basedOn w:val="Policepardfaut"/>
    <w:rsid w:val="004A6438"/>
  </w:style>
  <w:style w:type="paragraph" w:customStyle="1" w:styleId="Doc-basdepage">
    <w:name w:val="Doc-bas de page"/>
    <w:basedOn w:val="Notedebasdepage"/>
    <w:link w:val="Doc-basdepageCar"/>
    <w:autoRedefine/>
    <w:qFormat/>
    <w:rsid w:val="00937779"/>
    <w:pPr>
      <w:tabs>
        <w:tab w:val="clear" w:pos="709"/>
        <w:tab w:val="left" w:pos="284"/>
      </w:tabs>
      <w:ind w:left="0" w:firstLine="0"/>
    </w:pPr>
    <w:rPr>
      <w:rFonts w:ascii="Cambria" w:hAnsi="Cambria"/>
      <w:sz w:val="22"/>
      <w:szCs w:val="22"/>
    </w:rPr>
  </w:style>
  <w:style w:type="character" w:customStyle="1" w:styleId="Doc-basdepageCar">
    <w:name w:val="Doc-bas de page Car"/>
    <w:basedOn w:val="NotedebasdepageCar"/>
    <w:link w:val="Doc-basdepage"/>
    <w:rsid w:val="00937779"/>
    <w:rPr>
      <w:rFonts w:ascii="Cambria" w:hAnsi="Cambria"/>
      <w:sz w:val="22"/>
      <w:szCs w:val="22"/>
    </w:rPr>
  </w:style>
</w:styles>
</file>

<file path=word/webSettings.xml><?xml version="1.0" encoding="utf-8"?>
<w:webSettings xmlns:r="http://schemas.openxmlformats.org/officeDocument/2006/relationships" xmlns:w="http://schemas.openxmlformats.org/wordprocessingml/2006/main">
  <w:divs>
    <w:div w:id="170100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BL\Ab&#233;c&#233;daire%20de%20l'&#233;nergie\Livret\Informations\Graphiques-Information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BL\Ab&#233;c&#233;daire%20de%20l'&#233;nergie\Livret\Informations\Graphiques-Information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SBL\Ab&#233;c&#233;daire%20de%20l'&#233;nergie\Livret\Informations\Graphiques-Information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SBL\Ab&#233;c&#233;daire%20de%20l'&#233;nergie\Livret\Informations\Graphiques-Information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SBL\Ab&#233;c&#233;daire%20de%20l'&#233;nergie\Livret\Informations\Graphiques-Informat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BL\Ab&#233;c&#233;daire%20de%20l'&#233;nergie\Livret\Informations\Graphiques-Informat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BL\Ab&#233;c&#233;daire%20de%20l'&#233;nergie\Livret\Informations\Graphiques-Informat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BL\Ab&#233;c&#233;daire%20de%20l'&#233;nergie\Livret\Informations\Graphiques-Information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SBL\Ab&#233;c&#233;daire%20de%20l'&#233;nergie\Livret\Informations\Graphiques-Informati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BL\Ab&#233;c&#233;daire%20de%20l'&#233;nergie\Livret\Informations\Graphiques-Inform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794483398752754"/>
          <c:y val="0.16154769971261129"/>
          <c:w val="0.5916111200993015"/>
          <c:h val="0.68465400281939526"/>
        </c:manualLayout>
      </c:layout>
      <c:pieChart>
        <c:varyColors val="1"/>
        <c:ser>
          <c:idx val="0"/>
          <c:order val="0"/>
          <c:spPr>
            <a:solidFill>
              <a:srgbClr val="004586"/>
            </a:solidFill>
            <a:ln>
              <a:noFill/>
            </a:ln>
          </c:spPr>
          <c:dPt>
            <c:idx val="0"/>
            <c:spPr>
              <a:solidFill>
                <a:srgbClr val="800080"/>
              </a:solidFill>
              <a:ln>
                <a:noFill/>
              </a:ln>
            </c:spPr>
          </c:dPt>
          <c:dPt>
            <c:idx val="1"/>
            <c:spPr>
              <a:solidFill>
                <a:srgbClr val="FFC000"/>
              </a:solidFill>
              <a:ln>
                <a:noFill/>
              </a:ln>
            </c:spPr>
          </c:dPt>
          <c:dPt>
            <c:idx val="2"/>
            <c:spPr>
              <a:solidFill>
                <a:schemeClr val="accent3">
                  <a:lumMod val="50000"/>
                </a:schemeClr>
              </a:solidFill>
              <a:ln>
                <a:noFill/>
              </a:ln>
            </c:spPr>
          </c:dPt>
          <c:dPt>
            <c:idx val="3"/>
            <c:spPr>
              <a:solidFill>
                <a:schemeClr val="accent1">
                  <a:lumMod val="60000"/>
                  <a:lumOff val="40000"/>
                </a:schemeClr>
              </a:solidFill>
              <a:ln>
                <a:noFill/>
              </a:ln>
            </c:spPr>
          </c:dPt>
          <c:dPt>
            <c:idx val="4"/>
            <c:spPr>
              <a:solidFill>
                <a:srgbClr val="0000FF"/>
              </a:solidFill>
              <a:ln>
                <a:noFill/>
              </a:ln>
            </c:spPr>
          </c:dPt>
          <c:dPt>
            <c:idx val="5"/>
            <c:spPr>
              <a:solidFill>
                <a:srgbClr val="FF0000"/>
              </a:solidFill>
              <a:ln>
                <a:noFill/>
              </a:ln>
            </c:spPr>
          </c:dPt>
          <c:dPt>
            <c:idx val="6"/>
            <c:spPr>
              <a:solidFill>
                <a:schemeClr val="accent6"/>
              </a:solidFill>
              <a:ln>
                <a:noFill/>
              </a:ln>
            </c:spPr>
          </c:dPt>
          <c:dPt>
            <c:idx val="7"/>
            <c:spPr>
              <a:solidFill>
                <a:schemeClr val="accent5">
                  <a:lumMod val="75000"/>
                </a:schemeClr>
              </a:solidFill>
              <a:ln>
                <a:noFill/>
              </a:ln>
            </c:spPr>
          </c:dPt>
          <c:dPt>
            <c:idx val="8"/>
            <c:spPr>
              <a:solidFill>
                <a:schemeClr val="accent6">
                  <a:lumMod val="50000"/>
                </a:schemeClr>
              </a:solidFill>
              <a:ln>
                <a:noFill/>
              </a:ln>
            </c:spPr>
          </c:dPt>
          <c:dLbls>
            <c:dLbl>
              <c:idx val="0"/>
              <c:spPr/>
              <c:txPr>
                <a:bodyPr/>
                <a:lstStyle/>
                <a:p>
                  <a:pPr>
                    <a:defRPr sz="900" baseline="0">
                      <a:solidFill>
                        <a:schemeClr val="bg1"/>
                      </a:solidFill>
                      <a:latin typeface="Verdana" pitchFamily="34" charset="0"/>
                    </a:defRPr>
                  </a:pPr>
                  <a:endParaRPr lang="fr-FR"/>
                </a:p>
              </c:txPr>
            </c:dLbl>
            <c:dLbl>
              <c:idx val="1"/>
              <c:spPr>
                <a:solidFill>
                  <a:srgbClr val="FFC000"/>
                </a:solidFill>
              </c:spPr>
              <c:txPr>
                <a:bodyPr/>
                <a:lstStyle/>
                <a:p>
                  <a:pPr>
                    <a:defRPr sz="900">
                      <a:latin typeface="Verdana" pitchFamily="34" charset="0"/>
                    </a:defRPr>
                  </a:pPr>
                  <a:endParaRPr lang="fr-FR"/>
                </a:p>
              </c:txPr>
            </c:dLbl>
            <c:dLbl>
              <c:idx val="2"/>
              <c:layout>
                <c:manualLayout>
                  <c:x val="-1.7976714449155422E-2"/>
                  <c:y val="-3.8120234970628671E-2"/>
                </c:manualLayout>
              </c:layout>
              <c:spPr>
                <a:solidFill>
                  <a:schemeClr val="accent3">
                    <a:lumMod val="50000"/>
                  </a:schemeClr>
                </a:solidFill>
              </c:spPr>
              <c:txPr>
                <a:bodyPr/>
                <a:lstStyle/>
                <a:p>
                  <a:pPr>
                    <a:defRPr sz="900">
                      <a:solidFill>
                        <a:schemeClr val="bg1"/>
                      </a:solidFill>
                      <a:latin typeface="Verdana" pitchFamily="34" charset="0"/>
                    </a:defRPr>
                  </a:pPr>
                  <a:endParaRPr lang="fr-FR"/>
                </a:p>
              </c:txPr>
              <c:dLblPos val="bestFit"/>
              <c:showVal val="1"/>
            </c:dLbl>
            <c:dLbl>
              <c:idx val="4"/>
              <c:layout>
                <c:manualLayout>
                  <c:x val="-5.8938001497273974E-3"/>
                  <c:y val="2.6260115111724557E-2"/>
                </c:manualLayout>
              </c:layout>
              <c:tx>
                <c:rich>
                  <a:bodyPr/>
                  <a:lstStyle/>
                  <a:p>
                    <a:pPr>
                      <a:defRPr sz="900">
                        <a:solidFill>
                          <a:schemeClr val="bg1"/>
                        </a:solidFill>
                        <a:latin typeface="Verdana" pitchFamily="34" charset="0"/>
                      </a:defRPr>
                    </a:pPr>
                    <a:r>
                      <a:rPr lang="en-US"/>
                      <a:t>&lt;0,05%</a:t>
                    </a:r>
                  </a:p>
                </c:rich>
              </c:tx>
              <c:spPr>
                <a:solidFill>
                  <a:srgbClr val="0000FF"/>
                </a:solidFill>
              </c:spPr>
              <c:dLblPos val="bestFit"/>
              <c:showVal val="1"/>
            </c:dLbl>
            <c:dLbl>
              <c:idx val="5"/>
              <c:layout>
                <c:manualLayout>
                  <c:x val="-2.0064063513274923E-2"/>
                  <c:y val="-5.3747050164723496E-2"/>
                </c:manualLayout>
              </c:layout>
              <c:spPr>
                <a:solidFill>
                  <a:srgbClr val="FF0000"/>
                </a:solidFill>
              </c:spPr>
              <c:txPr>
                <a:bodyPr/>
                <a:lstStyle/>
                <a:p>
                  <a:pPr>
                    <a:defRPr sz="900">
                      <a:solidFill>
                        <a:schemeClr val="bg1"/>
                      </a:solidFill>
                      <a:latin typeface="Verdana" pitchFamily="34" charset="0"/>
                    </a:defRPr>
                  </a:pPr>
                  <a:endParaRPr lang="fr-FR"/>
                </a:p>
              </c:txPr>
              <c:dLblPos val="bestFit"/>
              <c:showVal val="1"/>
            </c:dLbl>
            <c:dLbl>
              <c:idx val="6"/>
              <c:layout>
                <c:manualLayout>
                  <c:x val="3.653676922087145E-2"/>
                  <c:y val="-0.10977016596961249"/>
                </c:manualLayout>
              </c:layout>
              <c:spPr>
                <a:solidFill>
                  <a:schemeClr val="accent6"/>
                </a:solidFill>
              </c:spPr>
              <c:txPr>
                <a:bodyPr/>
                <a:lstStyle/>
                <a:p>
                  <a:pPr>
                    <a:defRPr sz="900">
                      <a:latin typeface="Verdana" pitchFamily="34" charset="0"/>
                    </a:defRPr>
                  </a:pPr>
                  <a:endParaRPr lang="fr-FR"/>
                </a:p>
              </c:txPr>
              <c:dLblPos val="bestFit"/>
              <c:showVal val="1"/>
            </c:dLbl>
            <c:dLbl>
              <c:idx val="8"/>
              <c:spPr>
                <a:solidFill>
                  <a:schemeClr val="accent6">
                    <a:lumMod val="50000"/>
                  </a:schemeClr>
                </a:solidFill>
              </c:spPr>
              <c:txPr>
                <a:bodyPr/>
                <a:lstStyle/>
                <a:p>
                  <a:pPr>
                    <a:defRPr sz="900">
                      <a:solidFill>
                        <a:schemeClr val="bg1"/>
                      </a:solidFill>
                      <a:latin typeface="Verdana" pitchFamily="34" charset="0"/>
                    </a:defRPr>
                  </a:pPr>
                  <a:endParaRPr lang="fr-FR"/>
                </a:p>
              </c:txPr>
            </c:dLbl>
            <c:txPr>
              <a:bodyPr/>
              <a:lstStyle/>
              <a:p>
                <a:pPr>
                  <a:defRPr sz="900">
                    <a:latin typeface="Verdana" pitchFamily="34" charset="0"/>
                  </a:defRPr>
                </a:pPr>
                <a:endParaRPr lang="fr-FR"/>
              </a:p>
            </c:txPr>
            <c:dLblPos val="bestFit"/>
            <c:showVal val="1"/>
            <c:showLeaderLines val="1"/>
          </c:dLbls>
          <c:cat>
            <c:strRef>
              <c:f>Feuil1!$A$56:$A$64</c:f>
              <c:strCache>
                <c:ptCount val="9"/>
                <c:pt idx="0">
                  <c:v>fossile</c:v>
                </c:pt>
                <c:pt idx="1">
                  <c:v>solaire</c:v>
                </c:pt>
                <c:pt idx="2">
                  <c:v>éolien</c:v>
                </c:pt>
                <c:pt idx="3">
                  <c:v>hydraulique</c:v>
                </c:pt>
                <c:pt idx="4">
                  <c:v>marine</c:v>
                </c:pt>
                <c:pt idx="5">
                  <c:v>géothermie</c:v>
                </c:pt>
                <c:pt idx="6">
                  <c:v>biomasse</c:v>
                </c:pt>
                <c:pt idx="7">
                  <c:v>nucléaire</c:v>
                </c:pt>
                <c:pt idx="8">
                  <c:v>déchets non renouvelables</c:v>
                </c:pt>
              </c:strCache>
            </c:strRef>
          </c:cat>
          <c:val>
            <c:numRef>
              <c:f>Feuil1!$B$56:$B$64</c:f>
              <c:numCache>
                <c:formatCode>0.0%</c:formatCode>
                <c:ptCount val="9"/>
                <c:pt idx="0">
                  <c:v>0.67200000000001114</c:v>
                </c:pt>
                <c:pt idx="1">
                  <c:v>2.0000000000000052E-3</c:v>
                </c:pt>
                <c:pt idx="2">
                  <c:v>1.6000000000000229E-2</c:v>
                </c:pt>
                <c:pt idx="3">
                  <c:v>0.16300000000000081</c:v>
                </c:pt>
                <c:pt idx="4">
                  <c:v>0</c:v>
                </c:pt>
                <c:pt idx="5">
                  <c:v>3.0000000000000452E-3</c:v>
                </c:pt>
                <c:pt idx="6">
                  <c:v>1.2000000000000021E-2</c:v>
                </c:pt>
                <c:pt idx="7">
                  <c:v>0.13</c:v>
                </c:pt>
                <c:pt idx="8">
                  <c:v>2.0000000000000052E-3</c:v>
                </c:pt>
              </c:numCache>
            </c:numRef>
          </c:val>
        </c:ser>
        <c:dLbls>
          <c:showVal val="1"/>
        </c:dLbls>
        <c:firstSliceAng val="0"/>
      </c:pieChart>
      <c:spPr>
        <a:noFill/>
        <a:ln>
          <a:noFill/>
        </a:ln>
      </c:spPr>
    </c:plotArea>
    <c:plotVisOnly val="1"/>
  </c:chart>
  <c:spPr>
    <a:noFill/>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latin typeface="Verdana" pitchFamily="34" charset="0"/>
              </a:defRPr>
            </a:pPr>
            <a:endParaRPr lang="fr-FR" sz="1100">
              <a:latin typeface="Verdana" pitchFamily="34" charset="0"/>
            </a:endParaRPr>
          </a:p>
          <a:p>
            <a:pPr>
              <a:defRPr sz="1100">
                <a:latin typeface="Verdana" pitchFamily="34" charset="0"/>
              </a:defRPr>
            </a:pPr>
            <a:r>
              <a:rPr lang="fr-FR" sz="1100" b="0" i="1" baseline="0">
                <a:latin typeface="Verdana" pitchFamily="34" charset="0"/>
              </a:rPr>
              <a:t>Industrie</a:t>
            </a:r>
          </a:p>
        </c:rich>
      </c:tx>
      <c:layout>
        <c:manualLayout>
          <c:xMode val="edge"/>
          <c:yMode val="edge"/>
          <c:x val="0.13137911297433597"/>
          <c:y val="1.5281757402101241E-2"/>
        </c:manualLayout>
      </c:layout>
    </c:title>
    <c:plotArea>
      <c:layout>
        <c:manualLayout>
          <c:layoutTarget val="inner"/>
          <c:xMode val="edge"/>
          <c:yMode val="edge"/>
          <c:x val="5.0789722011664068E-2"/>
          <c:y val="0.15821281652114683"/>
          <c:w val="0.24483981250870171"/>
          <c:h val="0.59343576322300651"/>
        </c:manualLayout>
      </c:layout>
      <c:barChart>
        <c:barDir val="col"/>
        <c:grouping val="percentStacked"/>
        <c:ser>
          <c:idx val="0"/>
          <c:order val="0"/>
          <c:tx>
            <c:strRef>
              <c:f>Feuil1!$A$135</c:f>
              <c:strCache>
                <c:ptCount val="1"/>
                <c:pt idx="0">
                  <c:v>charbon</c:v>
                </c:pt>
              </c:strCache>
            </c:strRef>
          </c:tx>
          <c:spPr>
            <a:solidFill>
              <a:schemeClr val="accent4">
                <a:lumMod val="50000"/>
              </a:schemeClr>
            </a:solidFill>
          </c:spPr>
          <c:dLbls>
            <c:txPr>
              <a:bodyPr/>
              <a:lstStyle/>
              <a:p>
                <a:pPr>
                  <a:defRPr sz="800">
                    <a:solidFill>
                      <a:schemeClr val="bg1"/>
                    </a:solidFill>
                    <a:latin typeface="Verdana" pitchFamily="34" charset="0"/>
                  </a:defRPr>
                </a:pPr>
                <a:endParaRPr lang="fr-FR"/>
              </a:p>
            </c:txPr>
            <c:dLblPos val="ctr"/>
            <c:showVal val="1"/>
          </c:dLbls>
          <c:cat>
            <c:numRef>
              <c:f>(Feuil1!$B$134,Feuil1!$D$134,Feuil1!$F$134,Feuil1!$H$134)</c:f>
              <c:numCache>
                <c:formatCode>General</c:formatCode>
                <c:ptCount val="4"/>
                <c:pt idx="0">
                  <c:v>1973</c:v>
                </c:pt>
                <c:pt idx="1">
                  <c:v>1990</c:v>
                </c:pt>
                <c:pt idx="2">
                  <c:v>2002</c:v>
                </c:pt>
                <c:pt idx="3">
                  <c:v>2010</c:v>
                </c:pt>
              </c:numCache>
            </c:numRef>
          </c:cat>
          <c:val>
            <c:numRef>
              <c:f>(Feuil1!$B$135,Feuil1!$D$135,Feuil1!$F$135,Feuil1!$H$135)</c:f>
              <c:numCache>
                <c:formatCode>0.0%</c:formatCode>
                <c:ptCount val="4"/>
                <c:pt idx="0">
                  <c:v>0.25208333333333327</c:v>
                </c:pt>
                <c:pt idx="1">
                  <c:v>0.22047244094488186</c:v>
                </c:pt>
                <c:pt idx="2">
                  <c:v>0.15885416666666671</c:v>
                </c:pt>
                <c:pt idx="3">
                  <c:v>0.1492957746478874</c:v>
                </c:pt>
              </c:numCache>
            </c:numRef>
          </c:val>
        </c:ser>
        <c:ser>
          <c:idx val="1"/>
          <c:order val="1"/>
          <c:tx>
            <c:strRef>
              <c:f>Feuil1!$A$136</c:f>
              <c:strCache>
                <c:ptCount val="1"/>
                <c:pt idx="0">
                  <c:v>pétrole</c:v>
                </c:pt>
              </c:strCache>
            </c:strRef>
          </c:tx>
          <c:spPr>
            <a:solidFill>
              <a:srgbClr val="7030A0"/>
            </a:solidFill>
          </c:spPr>
          <c:dLbls>
            <c:txPr>
              <a:bodyPr/>
              <a:lstStyle/>
              <a:p>
                <a:pPr>
                  <a:defRPr sz="800">
                    <a:solidFill>
                      <a:schemeClr val="bg1"/>
                    </a:solidFill>
                    <a:latin typeface="Verdana" pitchFamily="34" charset="0"/>
                  </a:defRPr>
                </a:pPr>
                <a:endParaRPr lang="fr-FR"/>
              </a:p>
            </c:txPr>
            <c:dLblPos val="ctr"/>
            <c:showVal val="1"/>
          </c:dLbls>
          <c:cat>
            <c:numRef>
              <c:f>(Feuil1!$B$134,Feuil1!$D$134,Feuil1!$F$134,Feuil1!$H$134)</c:f>
              <c:numCache>
                <c:formatCode>General</c:formatCode>
                <c:ptCount val="4"/>
                <c:pt idx="0">
                  <c:v>1973</c:v>
                </c:pt>
                <c:pt idx="1">
                  <c:v>1990</c:v>
                </c:pt>
                <c:pt idx="2">
                  <c:v>2002</c:v>
                </c:pt>
                <c:pt idx="3">
                  <c:v>2010</c:v>
                </c:pt>
              </c:numCache>
            </c:numRef>
          </c:cat>
          <c:val>
            <c:numRef>
              <c:f>(Feuil1!$B$136,Feuil1!$D$136,Feuil1!$F$136,Feuil1!$H$136)</c:f>
              <c:numCache>
                <c:formatCode>0.0%</c:formatCode>
                <c:ptCount val="4"/>
                <c:pt idx="0">
                  <c:v>0.50208333333333333</c:v>
                </c:pt>
                <c:pt idx="1">
                  <c:v>0.24409448818897944</c:v>
                </c:pt>
                <c:pt idx="2">
                  <c:v>0.18750000000000044</c:v>
                </c:pt>
                <c:pt idx="3">
                  <c:v>0.1492957746478874</c:v>
                </c:pt>
              </c:numCache>
            </c:numRef>
          </c:val>
        </c:ser>
        <c:ser>
          <c:idx val="2"/>
          <c:order val="2"/>
          <c:tx>
            <c:strRef>
              <c:f>Feuil1!$A$137</c:f>
              <c:strCache>
                <c:ptCount val="1"/>
                <c:pt idx="0">
                  <c:v>gaz naturel</c:v>
                </c:pt>
              </c:strCache>
            </c:strRef>
          </c:tx>
          <c:spPr>
            <a:solidFill>
              <a:schemeClr val="accent4">
                <a:lumMod val="40000"/>
                <a:lumOff val="60000"/>
              </a:schemeClr>
            </a:solidFill>
          </c:spPr>
          <c:dLbls>
            <c:txPr>
              <a:bodyPr/>
              <a:lstStyle/>
              <a:p>
                <a:pPr>
                  <a:defRPr sz="800">
                    <a:latin typeface="Verdana" pitchFamily="34" charset="0"/>
                  </a:defRPr>
                </a:pPr>
                <a:endParaRPr lang="fr-FR"/>
              </a:p>
            </c:txPr>
            <c:dLblPos val="ctr"/>
            <c:showVal val="1"/>
          </c:dLbls>
          <c:cat>
            <c:numRef>
              <c:f>(Feuil1!$B$134,Feuil1!$D$134,Feuil1!$F$134,Feuil1!$H$134)</c:f>
              <c:numCache>
                <c:formatCode>General</c:formatCode>
                <c:ptCount val="4"/>
                <c:pt idx="0">
                  <c:v>1973</c:v>
                </c:pt>
                <c:pt idx="1">
                  <c:v>1990</c:v>
                </c:pt>
                <c:pt idx="2">
                  <c:v>2002</c:v>
                </c:pt>
                <c:pt idx="3">
                  <c:v>2010</c:v>
                </c:pt>
              </c:numCache>
            </c:numRef>
          </c:cat>
          <c:val>
            <c:numRef>
              <c:f>(Feuil1!$B$137,Feuil1!$D$137,Feuil1!$F$137,Feuil1!$H$137)</c:f>
              <c:numCache>
                <c:formatCode>0.0%</c:formatCode>
                <c:ptCount val="4"/>
                <c:pt idx="0">
                  <c:v>6.666666666666668E-2</c:v>
                </c:pt>
                <c:pt idx="1">
                  <c:v>0.24409448818897944</c:v>
                </c:pt>
                <c:pt idx="2">
                  <c:v>0.29687500000000339</c:v>
                </c:pt>
                <c:pt idx="3">
                  <c:v>0.34647887323944815</c:v>
                </c:pt>
              </c:numCache>
            </c:numRef>
          </c:val>
        </c:ser>
        <c:ser>
          <c:idx val="3"/>
          <c:order val="3"/>
          <c:tx>
            <c:strRef>
              <c:f>Feuil1!$A$138</c:f>
              <c:strCache>
                <c:ptCount val="1"/>
                <c:pt idx="0">
                  <c:v>électricité</c:v>
                </c:pt>
              </c:strCache>
            </c:strRef>
          </c:tx>
          <c:spPr>
            <a:solidFill>
              <a:schemeClr val="accent5"/>
            </a:solidFill>
          </c:spPr>
          <c:dLbls>
            <c:txPr>
              <a:bodyPr/>
              <a:lstStyle/>
              <a:p>
                <a:pPr>
                  <a:defRPr sz="800">
                    <a:latin typeface="Verdana" pitchFamily="34" charset="0"/>
                  </a:defRPr>
                </a:pPr>
                <a:endParaRPr lang="fr-FR"/>
              </a:p>
            </c:txPr>
            <c:dLblPos val="ctr"/>
            <c:showVal val="1"/>
          </c:dLbls>
          <c:cat>
            <c:numRef>
              <c:f>(Feuil1!$B$134,Feuil1!$D$134,Feuil1!$F$134,Feuil1!$H$134)</c:f>
              <c:numCache>
                <c:formatCode>General</c:formatCode>
                <c:ptCount val="4"/>
                <c:pt idx="0">
                  <c:v>1973</c:v>
                </c:pt>
                <c:pt idx="1">
                  <c:v>1990</c:v>
                </c:pt>
                <c:pt idx="2">
                  <c:v>2002</c:v>
                </c:pt>
                <c:pt idx="3">
                  <c:v>2010</c:v>
                </c:pt>
              </c:numCache>
            </c:numRef>
          </c:cat>
          <c:val>
            <c:numRef>
              <c:f>(Feuil1!$B$138,Feuil1!$D$138,Feuil1!$F$138,Feuil1!$H$138)</c:f>
              <c:numCache>
                <c:formatCode>0.0%</c:formatCode>
                <c:ptCount val="4"/>
                <c:pt idx="0">
                  <c:v>0.15000000000000024</c:v>
                </c:pt>
                <c:pt idx="1">
                  <c:v>0.2598425196850393</c:v>
                </c:pt>
                <c:pt idx="2">
                  <c:v>0.31250000000000333</c:v>
                </c:pt>
                <c:pt idx="3">
                  <c:v>0.29295774647887335</c:v>
                </c:pt>
              </c:numCache>
            </c:numRef>
          </c:val>
        </c:ser>
        <c:ser>
          <c:idx val="4"/>
          <c:order val="4"/>
          <c:tx>
            <c:strRef>
              <c:f>Feuil1!$A$139</c:f>
              <c:strCache>
                <c:ptCount val="1"/>
                <c:pt idx="0">
                  <c:v>énergies renouvelables</c:v>
                </c:pt>
              </c:strCache>
            </c:strRef>
          </c:tx>
          <c:spPr>
            <a:solidFill>
              <a:schemeClr val="accent3"/>
            </a:solidFill>
          </c:spPr>
          <c:dLbls>
            <c:txPr>
              <a:bodyPr/>
              <a:lstStyle/>
              <a:p>
                <a:pPr>
                  <a:defRPr sz="800">
                    <a:latin typeface="Verdana" pitchFamily="34" charset="0"/>
                  </a:defRPr>
                </a:pPr>
                <a:endParaRPr lang="fr-FR"/>
              </a:p>
            </c:txPr>
            <c:dLblPos val="ctr"/>
            <c:showVal val="1"/>
          </c:dLbls>
          <c:cat>
            <c:numRef>
              <c:f>(Feuil1!$B$134,Feuil1!$D$134,Feuil1!$F$134,Feuil1!$H$134)</c:f>
              <c:numCache>
                <c:formatCode>General</c:formatCode>
                <c:ptCount val="4"/>
                <c:pt idx="0">
                  <c:v>1973</c:v>
                </c:pt>
                <c:pt idx="1">
                  <c:v>1990</c:v>
                </c:pt>
                <c:pt idx="2">
                  <c:v>2002</c:v>
                </c:pt>
                <c:pt idx="3">
                  <c:v>2010</c:v>
                </c:pt>
              </c:numCache>
            </c:numRef>
          </c:cat>
          <c:val>
            <c:numRef>
              <c:f>(Feuil1!$B$139,Feuil1!$D$139,Feuil1!$F$139,Feuil1!$H$139)</c:f>
              <c:numCache>
                <c:formatCode>0.0%</c:formatCode>
                <c:ptCount val="4"/>
                <c:pt idx="0">
                  <c:v>2.916666666666666E-2</c:v>
                </c:pt>
                <c:pt idx="1">
                  <c:v>3.1496062992125991E-2</c:v>
                </c:pt>
                <c:pt idx="2">
                  <c:v>4.4270833333333412E-2</c:v>
                </c:pt>
                <c:pt idx="3">
                  <c:v>6.1971830985915501E-2</c:v>
                </c:pt>
              </c:numCache>
            </c:numRef>
          </c:val>
        </c:ser>
        <c:dLbls>
          <c:showVal val="1"/>
        </c:dLbls>
        <c:gapWidth val="70"/>
        <c:overlap val="100"/>
        <c:axId val="67155456"/>
        <c:axId val="67156992"/>
      </c:barChart>
      <c:catAx>
        <c:axId val="67155456"/>
        <c:scaling>
          <c:orientation val="minMax"/>
        </c:scaling>
        <c:axPos val="b"/>
        <c:numFmt formatCode="General" sourceLinked="1"/>
        <c:majorTickMark val="none"/>
        <c:tickLblPos val="nextTo"/>
        <c:txPr>
          <a:bodyPr/>
          <a:lstStyle/>
          <a:p>
            <a:pPr>
              <a:defRPr sz="1000">
                <a:latin typeface="Verdana" pitchFamily="34" charset="0"/>
              </a:defRPr>
            </a:pPr>
            <a:endParaRPr lang="fr-FR"/>
          </a:p>
        </c:txPr>
        <c:crossAx val="67156992"/>
        <c:crosses val="autoZero"/>
        <c:auto val="1"/>
        <c:lblAlgn val="ctr"/>
        <c:lblOffset val="100"/>
      </c:catAx>
      <c:valAx>
        <c:axId val="67156992"/>
        <c:scaling>
          <c:orientation val="minMax"/>
        </c:scaling>
        <c:axPos val="l"/>
        <c:majorGridlines/>
        <c:numFmt formatCode="0%" sourceLinked="1"/>
        <c:majorTickMark val="none"/>
        <c:tickLblPos val="nextTo"/>
        <c:txPr>
          <a:bodyPr/>
          <a:lstStyle/>
          <a:p>
            <a:pPr>
              <a:defRPr sz="800">
                <a:latin typeface="Verdana" pitchFamily="34" charset="0"/>
              </a:defRPr>
            </a:pPr>
            <a:endParaRPr lang="fr-FR"/>
          </a:p>
        </c:txPr>
        <c:crossAx val="67155456"/>
        <c:crosses val="autoZero"/>
        <c:crossBetween val="between"/>
        <c:majorUnit val="0.2"/>
      </c:valAx>
      <c:spPr>
        <a:noFill/>
      </c:spPr>
    </c:plotArea>
    <c:legend>
      <c:legendPos val="b"/>
      <c:layout>
        <c:manualLayout>
          <c:xMode val="edge"/>
          <c:yMode val="edge"/>
          <c:x val="0"/>
          <c:y val="0.8508750159811691"/>
          <c:w val="0.99899313666342604"/>
          <c:h val="6.8895757657799941E-2"/>
        </c:manualLayout>
      </c:layout>
      <c:txPr>
        <a:bodyPr/>
        <a:lstStyle/>
        <a:p>
          <a:pPr>
            <a:defRPr>
              <a:latin typeface="Verdana" pitchFamily="34" charset="0"/>
            </a:defRPr>
          </a:pPr>
          <a:endParaRPr lang="fr-FR"/>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sz="1100" b="1"/>
            </a:pPr>
            <a:r>
              <a:rPr sz="1100" b="1">
                <a:latin typeface="Verdana"/>
              </a:rPr>
              <a:t>Production d'électricité par source énergétique en 2010</a:t>
            </a:r>
          </a:p>
        </c:rich>
      </c:tx>
      <c:layout>
        <c:manualLayout>
          <c:xMode val="edge"/>
          <c:yMode val="edge"/>
          <c:x val="0.36524934383202101"/>
          <c:y val="0"/>
        </c:manualLayout>
      </c:layout>
    </c:title>
    <c:plotArea>
      <c:layout>
        <c:manualLayout>
          <c:layoutTarget val="inner"/>
          <c:xMode val="edge"/>
          <c:yMode val="edge"/>
          <c:x val="9.8822207544628747E-3"/>
          <c:y val="0.20120542250753562"/>
          <c:w val="0.38394273199706935"/>
          <c:h val="0.73022018346795026"/>
        </c:manualLayout>
      </c:layout>
      <c:pieChart>
        <c:varyColors val="1"/>
        <c:ser>
          <c:idx val="0"/>
          <c:order val="0"/>
          <c:spPr>
            <a:solidFill>
              <a:srgbClr val="800080"/>
            </a:solidFill>
            <a:ln>
              <a:noFill/>
            </a:ln>
          </c:spPr>
          <c:dPt>
            <c:idx val="1"/>
            <c:spPr>
              <a:solidFill>
                <a:srgbClr val="FFC000"/>
              </a:solidFill>
              <a:ln>
                <a:noFill/>
              </a:ln>
            </c:spPr>
          </c:dPt>
          <c:dPt>
            <c:idx val="2"/>
            <c:spPr>
              <a:solidFill>
                <a:schemeClr val="accent3">
                  <a:lumMod val="50000"/>
                </a:schemeClr>
              </a:solidFill>
              <a:ln>
                <a:noFill/>
              </a:ln>
            </c:spPr>
          </c:dPt>
          <c:dPt>
            <c:idx val="3"/>
            <c:spPr>
              <a:solidFill>
                <a:schemeClr val="accent1">
                  <a:lumMod val="60000"/>
                  <a:lumOff val="40000"/>
                </a:schemeClr>
              </a:solidFill>
              <a:ln>
                <a:noFill/>
              </a:ln>
            </c:spPr>
          </c:dPt>
          <c:dPt>
            <c:idx val="4"/>
            <c:spPr>
              <a:solidFill>
                <a:srgbClr val="0000FF"/>
              </a:solidFill>
              <a:ln>
                <a:noFill/>
              </a:ln>
            </c:spPr>
          </c:dPt>
          <c:dPt>
            <c:idx val="5"/>
            <c:spPr>
              <a:solidFill>
                <a:srgbClr val="FF0000"/>
              </a:solidFill>
              <a:ln>
                <a:noFill/>
              </a:ln>
            </c:spPr>
          </c:dPt>
          <c:dPt>
            <c:idx val="6"/>
            <c:spPr>
              <a:solidFill>
                <a:schemeClr val="accent6"/>
              </a:solidFill>
              <a:ln>
                <a:noFill/>
              </a:ln>
            </c:spPr>
          </c:dPt>
          <c:dPt>
            <c:idx val="7"/>
            <c:spPr>
              <a:solidFill>
                <a:schemeClr val="accent5">
                  <a:lumMod val="75000"/>
                </a:schemeClr>
              </a:solidFill>
              <a:ln>
                <a:noFill/>
              </a:ln>
            </c:spPr>
          </c:dPt>
          <c:dPt>
            <c:idx val="8"/>
            <c:spPr>
              <a:solidFill>
                <a:schemeClr val="accent6">
                  <a:lumMod val="50000"/>
                </a:schemeClr>
              </a:solidFill>
              <a:ln>
                <a:noFill/>
              </a:ln>
            </c:spPr>
          </c:dPt>
          <c:dLbls>
            <c:dLbl>
              <c:idx val="0"/>
              <c:spPr/>
              <c:txPr>
                <a:bodyPr/>
                <a:lstStyle/>
                <a:p>
                  <a:pPr>
                    <a:defRPr sz="900" baseline="0">
                      <a:solidFill>
                        <a:schemeClr val="bg1"/>
                      </a:solidFill>
                      <a:latin typeface="Verdana" pitchFamily="34" charset="0"/>
                    </a:defRPr>
                  </a:pPr>
                  <a:endParaRPr lang="fr-FR"/>
                </a:p>
              </c:txPr>
            </c:dLbl>
            <c:dLbl>
              <c:idx val="1"/>
              <c:spPr>
                <a:solidFill>
                  <a:srgbClr val="FFC000"/>
                </a:solidFill>
              </c:spPr>
              <c:txPr>
                <a:bodyPr/>
                <a:lstStyle/>
                <a:p>
                  <a:pPr>
                    <a:defRPr sz="900">
                      <a:latin typeface="Verdana" pitchFamily="34" charset="0"/>
                    </a:defRPr>
                  </a:pPr>
                  <a:endParaRPr lang="fr-FR"/>
                </a:p>
              </c:txPr>
            </c:dLbl>
            <c:dLbl>
              <c:idx val="2"/>
              <c:spPr>
                <a:solidFill>
                  <a:schemeClr val="accent3">
                    <a:lumMod val="75000"/>
                  </a:schemeClr>
                </a:solidFill>
              </c:spPr>
              <c:txPr>
                <a:bodyPr/>
                <a:lstStyle/>
                <a:p>
                  <a:pPr>
                    <a:defRPr sz="900">
                      <a:solidFill>
                        <a:schemeClr val="bg1"/>
                      </a:solidFill>
                      <a:latin typeface="Verdana" pitchFamily="34" charset="0"/>
                    </a:defRPr>
                  </a:pPr>
                  <a:endParaRPr lang="fr-FR"/>
                </a:p>
              </c:txPr>
            </c:dLbl>
            <c:dLbl>
              <c:idx val="4"/>
              <c:layout>
                <c:manualLayout>
                  <c:x val="1.6721037990051581E-3"/>
                  <c:y val="-3.086713844313765E-2"/>
                </c:manualLayout>
              </c:layout>
              <c:spPr>
                <a:solidFill>
                  <a:srgbClr val="0000FF"/>
                </a:solidFill>
              </c:spPr>
              <c:txPr>
                <a:bodyPr/>
                <a:lstStyle/>
                <a:p>
                  <a:pPr>
                    <a:defRPr sz="900">
                      <a:solidFill>
                        <a:schemeClr val="bg1"/>
                      </a:solidFill>
                      <a:latin typeface="Verdana" pitchFamily="34" charset="0"/>
                    </a:defRPr>
                  </a:pPr>
                  <a:endParaRPr lang="fr-FR"/>
                </a:p>
              </c:txPr>
              <c:dLblPos val="bestFit"/>
              <c:showVal val="1"/>
            </c:dLbl>
            <c:dLbl>
              <c:idx val="5"/>
              <c:delete val="1"/>
            </c:dLbl>
            <c:dLbl>
              <c:idx val="6"/>
              <c:layout>
                <c:manualLayout>
                  <c:x val="1.9584164479730815E-3"/>
                  <c:y val="7.1511037413548514E-2"/>
                </c:manualLayout>
              </c:layout>
              <c:spPr>
                <a:solidFill>
                  <a:schemeClr val="accent6"/>
                </a:solidFill>
              </c:spPr>
              <c:txPr>
                <a:bodyPr/>
                <a:lstStyle/>
                <a:p>
                  <a:pPr>
                    <a:defRPr sz="900">
                      <a:latin typeface="Verdana" pitchFamily="34" charset="0"/>
                    </a:defRPr>
                  </a:pPr>
                  <a:endParaRPr lang="fr-FR"/>
                </a:p>
              </c:txPr>
              <c:dLblPos val="bestFit"/>
              <c:showVal val="1"/>
            </c:dLbl>
            <c:dLbl>
              <c:idx val="8"/>
              <c:spPr>
                <a:solidFill>
                  <a:schemeClr val="accent6">
                    <a:lumMod val="50000"/>
                  </a:schemeClr>
                </a:solidFill>
              </c:spPr>
              <c:txPr>
                <a:bodyPr/>
                <a:lstStyle/>
                <a:p>
                  <a:pPr>
                    <a:defRPr sz="900">
                      <a:solidFill>
                        <a:schemeClr val="bg1"/>
                      </a:solidFill>
                      <a:latin typeface="Verdana" pitchFamily="34" charset="0"/>
                    </a:defRPr>
                  </a:pPr>
                  <a:endParaRPr lang="fr-FR"/>
                </a:p>
              </c:txPr>
            </c:dLbl>
            <c:txPr>
              <a:bodyPr/>
              <a:lstStyle/>
              <a:p>
                <a:pPr>
                  <a:defRPr sz="900">
                    <a:latin typeface="Verdana" pitchFamily="34" charset="0"/>
                  </a:defRPr>
                </a:pPr>
                <a:endParaRPr lang="fr-FR"/>
              </a:p>
            </c:txPr>
            <c:dLblPos val="bestFit"/>
            <c:showVal val="1"/>
            <c:showLeaderLines val="1"/>
          </c:dLbls>
          <c:cat>
            <c:strRef>
              <c:f>Feuil1!$A$43:$A$51</c:f>
              <c:strCache>
                <c:ptCount val="9"/>
                <c:pt idx="0">
                  <c:v>fossile</c:v>
                </c:pt>
                <c:pt idx="1">
                  <c:v>solaire</c:v>
                </c:pt>
                <c:pt idx="2">
                  <c:v>éolien</c:v>
                </c:pt>
                <c:pt idx="3">
                  <c:v>hydraulique</c:v>
                </c:pt>
                <c:pt idx="4">
                  <c:v>marines</c:v>
                </c:pt>
                <c:pt idx="5">
                  <c:v>géothermie</c:v>
                </c:pt>
                <c:pt idx="6">
                  <c:v>biomasse</c:v>
                </c:pt>
                <c:pt idx="7">
                  <c:v>nucléaire</c:v>
                </c:pt>
                <c:pt idx="8">
                  <c:v>déchets non renouvelables</c:v>
                </c:pt>
              </c:strCache>
            </c:strRef>
          </c:cat>
          <c:val>
            <c:numRef>
              <c:f>Feuil1!$B$43:$B$51</c:f>
              <c:numCache>
                <c:formatCode>0.0%</c:formatCode>
                <c:ptCount val="9"/>
                <c:pt idx="0">
                  <c:v>0.10299999999999998</c:v>
                </c:pt>
                <c:pt idx="1">
                  <c:v>1.0000000000000041E-3</c:v>
                </c:pt>
                <c:pt idx="2">
                  <c:v>1.7000000000000081E-2</c:v>
                </c:pt>
                <c:pt idx="3">
                  <c:v>0.11899999999999998</c:v>
                </c:pt>
                <c:pt idx="4">
                  <c:v>1.0000000000000041E-3</c:v>
                </c:pt>
                <c:pt idx="5">
                  <c:v>0</c:v>
                </c:pt>
                <c:pt idx="6">
                  <c:v>8.0000000000000227E-3</c:v>
                </c:pt>
                <c:pt idx="7">
                  <c:v>0.74800000000000866</c:v>
                </c:pt>
                <c:pt idx="8">
                  <c:v>4.0000000000000114E-3</c:v>
                </c:pt>
              </c:numCache>
            </c:numRef>
          </c:val>
        </c:ser>
        <c:dLbls>
          <c:showVal val="1"/>
        </c:dLbls>
        <c:firstSliceAng val="0"/>
      </c:pieChart>
      <c:spPr>
        <a:noFill/>
        <a:ln>
          <a:noFill/>
        </a:ln>
      </c:spPr>
    </c:plotArea>
    <c:legend>
      <c:legendPos val="r"/>
      <c:layout>
        <c:manualLayout>
          <c:xMode val="edge"/>
          <c:yMode val="edge"/>
          <c:x val="0.44447827549010782"/>
          <c:y val="0.14320608658095313"/>
          <c:w val="0.40468716782167413"/>
          <c:h val="0.79716464013426858"/>
        </c:manualLayout>
      </c:layout>
      <c:txPr>
        <a:bodyPr/>
        <a:lstStyle/>
        <a:p>
          <a:pPr>
            <a:defRPr lang="en-US" baseline="0">
              <a:latin typeface="Verdana" pitchFamily="34" charset="0"/>
            </a:defRPr>
          </a:pPr>
          <a:endParaRPr lang="fr-FR"/>
        </a:p>
      </c:txPr>
    </c:legend>
    <c:plotVisOnly val="1"/>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sz="1100"/>
            </a:pPr>
            <a:r>
              <a:rPr sz="1100" b="1">
                <a:latin typeface="Verdana"/>
              </a:rPr>
              <a:t>Consommation finale d'énergie par source en France</a:t>
            </a:r>
          </a:p>
          <a:p>
            <a:pPr>
              <a:defRPr lang="en-US" sz="1100"/>
            </a:pPr>
            <a:r>
              <a:rPr sz="1100" b="1">
                <a:latin typeface="Verdana"/>
              </a:rPr>
              <a:t>en 2010</a:t>
            </a:r>
          </a:p>
        </c:rich>
      </c:tx>
      <c:layout>
        <c:manualLayout>
          <c:xMode val="edge"/>
          <c:yMode val="edge"/>
          <c:x val="0.17880950669063311"/>
          <c:y val="0"/>
        </c:manualLayout>
      </c:layout>
      <c:spPr>
        <a:noFill/>
        <a:ln>
          <a:noFill/>
        </a:ln>
      </c:spPr>
    </c:title>
    <c:plotArea>
      <c:layout>
        <c:manualLayout>
          <c:layoutTarget val="inner"/>
          <c:xMode val="edge"/>
          <c:yMode val="edge"/>
          <c:x val="0.19288562487381372"/>
          <c:y val="0.2251672199511647"/>
          <c:w val="0.32071656908271268"/>
          <c:h val="0.69730710490456949"/>
        </c:manualLayout>
      </c:layout>
      <c:pieChart>
        <c:varyColors val="1"/>
        <c:ser>
          <c:idx val="0"/>
          <c:order val="0"/>
          <c:spPr>
            <a:solidFill>
              <a:srgbClr val="004586"/>
            </a:solidFill>
            <a:ln>
              <a:noFill/>
            </a:ln>
          </c:spPr>
          <c:dPt>
            <c:idx val="0"/>
            <c:spPr>
              <a:solidFill>
                <a:schemeClr val="accent4">
                  <a:lumMod val="50000"/>
                </a:schemeClr>
              </a:solidFill>
              <a:ln>
                <a:noFill/>
              </a:ln>
            </c:spPr>
          </c:dPt>
          <c:dPt>
            <c:idx val="1"/>
            <c:spPr>
              <a:solidFill>
                <a:srgbClr val="7030A0"/>
              </a:solidFill>
              <a:ln>
                <a:noFill/>
              </a:ln>
            </c:spPr>
          </c:dPt>
          <c:dPt>
            <c:idx val="2"/>
            <c:spPr>
              <a:solidFill>
                <a:schemeClr val="accent4">
                  <a:lumMod val="60000"/>
                  <a:lumOff val="40000"/>
                </a:schemeClr>
              </a:solidFill>
              <a:ln>
                <a:noFill/>
              </a:ln>
            </c:spPr>
          </c:dPt>
          <c:dPt>
            <c:idx val="3"/>
            <c:spPr>
              <a:solidFill>
                <a:srgbClr val="FFC000"/>
              </a:solidFill>
              <a:ln>
                <a:noFill/>
              </a:ln>
            </c:spPr>
          </c:dPt>
          <c:dPt>
            <c:idx val="4"/>
            <c:spPr>
              <a:solidFill>
                <a:schemeClr val="accent3">
                  <a:lumMod val="75000"/>
                </a:schemeClr>
              </a:solidFill>
              <a:ln>
                <a:noFill/>
              </a:ln>
            </c:spPr>
          </c:dPt>
          <c:dPt>
            <c:idx val="5"/>
            <c:spPr>
              <a:solidFill>
                <a:schemeClr val="accent1">
                  <a:lumMod val="40000"/>
                  <a:lumOff val="60000"/>
                </a:schemeClr>
              </a:solidFill>
              <a:ln>
                <a:noFill/>
              </a:ln>
            </c:spPr>
          </c:dPt>
          <c:dPt>
            <c:idx val="6"/>
            <c:spPr>
              <a:solidFill>
                <a:srgbClr val="0000FF"/>
              </a:solidFill>
              <a:ln>
                <a:noFill/>
              </a:ln>
            </c:spPr>
          </c:dPt>
          <c:dPt>
            <c:idx val="7"/>
            <c:spPr>
              <a:solidFill>
                <a:srgbClr val="FF0000"/>
              </a:solidFill>
              <a:ln>
                <a:noFill/>
              </a:ln>
            </c:spPr>
          </c:dPt>
          <c:dPt>
            <c:idx val="8"/>
            <c:spPr>
              <a:solidFill>
                <a:schemeClr val="accent6"/>
              </a:solidFill>
              <a:ln>
                <a:noFill/>
              </a:ln>
            </c:spPr>
          </c:dPt>
          <c:dPt>
            <c:idx val="9"/>
            <c:spPr>
              <a:solidFill>
                <a:schemeClr val="accent5"/>
              </a:solidFill>
              <a:ln>
                <a:noFill/>
              </a:ln>
            </c:spPr>
          </c:dPt>
          <c:dPt>
            <c:idx val="10"/>
            <c:spPr>
              <a:solidFill>
                <a:schemeClr val="accent6">
                  <a:lumMod val="50000"/>
                </a:schemeClr>
              </a:solidFill>
              <a:ln>
                <a:noFill/>
              </a:ln>
            </c:spPr>
          </c:dPt>
          <c:dLbls>
            <c:dLbl>
              <c:idx val="0"/>
              <c:spPr>
                <a:solidFill>
                  <a:schemeClr val="accent4">
                    <a:lumMod val="50000"/>
                  </a:schemeClr>
                </a:solidFill>
              </c:spPr>
              <c:txPr>
                <a:bodyPr/>
                <a:lstStyle/>
                <a:p>
                  <a:pPr>
                    <a:defRPr sz="900">
                      <a:solidFill>
                        <a:schemeClr val="bg1"/>
                      </a:solidFill>
                      <a:latin typeface="Verdana" pitchFamily="34" charset="0"/>
                    </a:defRPr>
                  </a:pPr>
                  <a:endParaRPr lang="fr-FR"/>
                </a:p>
              </c:txPr>
            </c:dLbl>
            <c:dLbl>
              <c:idx val="1"/>
              <c:spPr>
                <a:solidFill>
                  <a:srgbClr val="7030A0"/>
                </a:solidFill>
              </c:spPr>
              <c:txPr>
                <a:bodyPr/>
                <a:lstStyle/>
                <a:p>
                  <a:pPr>
                    <a:defRPr sz="900">
                      <a:solidFill>
                        <a:schemeClr val="bg1"/>
                      </a:solidFill>
                      <a:latin typeface="Verdana" pitchFamily="34" charset="0"/>
                    </a:defRPr>
                  </a:pPr>
                  <a:endParaRPr lang="fr-FR"/>
                </a:p>
              </c:txPr>
            </c:dLbl>
            <c:dLbl>
              <c:idx val="2"/>
              <c:spPr>
                <a:solidFill>
                  <a:schemeClr val="accent4">
                    <a:lumMod val="60000"/>
                    <a:lumOff val="40000"/>
                  </a:schemeClr>
                </a:solidFill>
              </c:spPr>
              <c:txPr>
                <a:bodyPr/>
                <a:lstStyle/>
                <a:p>
                  <a:pPr>
                    <a:defRPr sz="900">
                      <a:latin typeface="Verdana" pitchFamily="34" charset="0"/>
                    </a:defRPr>
                  </a:pPr>
                  <a:endParaRPr lang="fr-FR"/>
                </a:p>
              </c:txPr>
            </c:dLbl>
            <c:dLbl>
              <c:idx val="3"/>
              <c:layout>
                <c:manualLayout>
                  <c:x val="-1.9469382863990421E-2"/>
                  <c:y val="0.12751196481697091"/>
                </c:manualLayout>
              </c:layout>
              <c:spPr>
                <a:solidFill>
                  <a:srgbClr val="FFC000"/>
                </a:solidFill>
              </c:spPr>
              <c:txPr>
                <a:bodyPr/>
                <a:lstStyle/>
                <a:p>
                  <a:pPr>
                    <a:defRPr sz="900">
                      <a:latin typeface="Verdana" pitchFamily="34" charset="0"/>
                    </a:defRPr>
                  </a:pPr>
                  <a:endParaRPr lang="fr-FR"/>
                </a:p>
              </c:txPr>
              <c:dLblPos val="bestFit"/>
              <c:showVal val="1"/>
            </c:dLbl>
            <c:dLbl>
              <c:idx val="4"/>
              <c:layout>
                <c:manualLayout>
                  <c:x val="-3.8145476333133609E-2"/>
                  <c:y val="4.2665567196999085E-2"/>
                </c:manualLayout>
              </c:layout>
              <c:spPr>
                <a:solidFill>
                  <a:schemeClr val="accent3">
                    <a:lumMod val="75000"/>
                  </a:schemeClr>
                </a:solidFill>
              </c:spPr>
              <c:txPr>
                <a:bodyPr/>
                <a:lstStyle/>
                <a:p>
                  <a:pPr>
                    <a:defRPr sz="900">
                      <a:solidFill>
                        <a:schemeClr val="bg1"/>
                      </a:solidFill>
                      <a:latin typeface="Verdana" pitchFamily="34" charset="0"/>
                    </a:defRPr>
                  </a:pPr>
                  <a:endParaRPr lang="fr-FR"/>
                </a:p>
              </c:txPr>
              <c:dLblPos val="bestFit"/>
              <c:showVal val="1"/>
            </c:dLbl>
            <c:dLbl>
              <c:idx val="5"/>
              <c:layout>
                <c:manualLayout>
                  <c:x val="-1.3566525338179147E-2"/>
                  <c:y val="5.5120047263464665E-3"/>
                </c:manualLayout>
              </c:layout>
              <c:spPr>
                <a:solidFill>
                  <a:schemeClr val="accent1">
                    <a:lumMod val="40000"/>
                    <a:lumOff val="60000"/>
                  </a:schemeClr>
                </a:solidFill>
              </c:spPr>
              <c:txPr>
                <a:bodyPr/>
                <a:lstStyle/>
                <a:p>
                  <a:pPr>
                    <a:defRPr sz="900">
                      <a:latin typeface="Verdana" pitchFamily="34" charset="0"/>
                    </a:defRPr>
                  </a:pPr>
                  <a:endParaRPr lang="fr-FR"/>
                </a:p>
              </c:txPr>
              <c:dLblPos val="bestFit"/>
              <c:showVal val="1"/>
            </c:dLbl>
            <c:dLbl>
              <c:idx val="6"/>
              <c:layout>
                <c:manualLayout>
                  <c:x val="-1.1673497104054324E-2"/>
                  <c:y val="-3.0949747768724174E-2"/>
                </c:manualLayout>
              </c:layout>
              <c:tx>
                <c:rich>
                  <a:bodyPr/>
                  <a:lstStyle/>
                  <a:p>
                    <a:pPr>
                      <a:defRPr sz="900">
                        <a:solidFill>
                          <a:schemeClr val="bg1"/>
                        </a:solidFill>
                        <a:latin typeface="Verdana" pitchFamily="34" charset="0"/>
                      </a:defRPr>
                    </a:pPr>
                    <a:r>
                      <a:rPr lang="en-US"/>
                      <a:t>&lt;0,05%</a:t>
                    </a:r>
                  </a:p>
                </c:rich>
              </c:tx>
              <c:spPr>
                <a:solidFill>
                  <a:srgbClr val="0000FF"/>
                </a:solidFill>
              </c:spPr>
              <c:dLblPos val="bestFit"/>
              <c:showVal val="1"/>
            </c:dLbl>
            <c:dLbl>
              <c:idx val="7"/>
              <c:layout>
                <c:manualLayout>
                  <c:x val="-3.9318873576992208E-2"/>
                  <c:y val="-9.5747962747382717E-2"/>
                </c:manualLayout>
              </c:layout>
              <c:spPr>
                <a:solidFill>
                  <a:srgbClr val="FF0000"/>
                </a:solidFill>
              </c:spPr>
              <c:txPr>
                <a:bodyPr/>
                <a:lstStyle/>
                <a:p>
                  <a:pPr>
                    <a:defRPr sz="900">
                      <a:solidFill>
                        <a:schemeClr val="bg1"/>
                      </a:solidFill>
                      <a:latin typeface="Verdana" pitchFamily="34" charset="0"/>
                    </a:defRPr>
                  </a:pPr>
                  <a:endParaRPr lang="fr-FR"/>
                </a:p>
              </c:txPr>
              <c:dLblPos val="bestFit"/>
              <c:showVal val="1"/>
            </c:dLbl>
            <c:dLbl>
              <c:idx val="8"/>
              <c:spPr>
                <a:solidFill>
                  <a:schemeClr val="accent6"/>
                </a:solidFill>
              </c:spPr>
              <c:txPr>
                <a:bodyPr/>
                <a:lstStyle/>
                <a:p>
                  <a:pPr>
                    <a:defRPr sz="900">
                      <a:latin typeface="Verdana" pitchFamily="34" charset="0"/>
                    </a:defRPr>
                  </a:pPr>
                  <a:endParaRPr lang="fr-FR"/>
                </a:p>
              </c:txPr>
            </c:dLbl>
            <c:dLbl>
              <c:idx val="9"/>
              <c:spPr>
                <a:solidFill>
                  <a:schemeClr val="accent5"/>
                </a:solidFill>
              </c:spPr>
              <c:txPr>
                <a:bodyPr/>
                <a:lstStyle/>
                <a:p>
                  <a:pPr>
                    <a:defRPr sz="900">
                      <a:latin typeface="Verdana" pitchFamily="34" charset="0"/>
                    </a:defRPr>
                  </a:pPr>
                  <a:endParaRPr lang="fr-FR"/>
                </a:p>
              </c:txPr>
            </c:dLbl>
            <c:dLbl>
              <c:idx val="10"/>
              <c:spPr>
                <a:solidFill>
                  <a:schemeClr val="accent6">
                    <a:lumMod val="50000"/>
                  </a:schemeClr>
                </a:solidFill>
              </c:spPr>
              <c:txPr>
                <a:bodyPr/>
                <a:lstStyle/>
                <a:p>
                  <a:pPr>
                    <a:defRPr sz="900">
                      <a:solidFill>
                        <a:schemeClr val="bg1"/>
                      </a:solidFill>
                      <a:latin typeface="Verdana" pitchFamily="34" charset="0"/>
                    </a:defRPr>
                  </a:pPr>
                  <a:endParaRPr lang="fr-FR"/>
                </a:p>
              </c:txPr>
            </c:dLbl>
            <c:txPr>
              <a:bodyPr/>
              <a:lstStyle/>
              <a:p>
                <a:pPr>
                  <a:defRPr sz="900">
                    <a:latin typeface="Verdana" pitchFamily="34" charset="0"/>
                  </a:defRPr>
                </a:pPr>
                <a:endParaRPr lang="fr-FR"/>
              </a:p>
            </c:txPr>
            <c:dLblPos val="bestFit"/>
            <c:showVal val="1"/>
            <c:showLeaderLines val="1"/>
          </c:dLbls>
          <c:cat>
            <c:strRef>
              <c:f>Feuil1!$A$25:$A$35</c:f>
              <c:strCache>
                <c:ptCount val="11"/>
                <c:pt idx="0">
                  <c:v>charbon</c:v>
                </c:pt>
                <c:pt idx="1">
                  <c:v>pétrole</c:v>
                </c:pt>
                <c:pt idx="2">
                  <c:v>gaz</c:v>
                </c:pt>
                <c:pt idx="3">
                  <c:v>solaire</c:v>
                </c:pt>
                <c:pt idx="4">
                  <c:v>éolien</c:v>
                </c:pt>
                <c:pt idx="5">
                  <c:v>hydraulique</c:v>
                </c:pt>
                <c:pt idx="6">
                  <c:v>marines</c:v>
                </c:pt>
                <c:pt idx="7">
                  <c:v>géothermie</c:v>
                </c:pt>
                <c:pt idx="8">
                  <c:v>biomasse</c:v>
                </c:pt>
                <c:pt idx="9">
                  <c:v>nucléaire</c:v>
                </c:pt>
                <c:pt idx="10">
                  <c:v>déchets non renouvelables</c:v>
                </c:pt>
              </c:strCache>
            </c:strRef>
          </c:cat>
          <c:val>
            <c:numRef>
              <c:f>Feuil1!$C$25:$C$35</c:f>
              <c:numCache>
                <c:formatCode>0.0%</c:formatCode>
                <c:ptCount val="11"/>
                <c:pt idx="0">
                  <c:v>3.553299492385787E-2</c:v>
                </c:pt>
                <c:pt idx="1">
                  <c:v>0.41560913705583752</c:v>
                </c:pt>
                <c:pt idx="2">
                  <c:v>0.21637055837563438</c:v>
                </c:pt>
                <c:pt idx="3">
                  <c:v>9.5177664974620767E-4</c:v>
                </c:pt>
                <c:pt idx="4">
                  <c:v>5.7106598984772014E-3</c:v>
                </c:pt>
                <c:pt idx="5">
                  <c:v>3.48984771573604E-2</c:v>
                </c:pt>
                <c:pt idx="6">
                  <c:v>2.5380710659898495E-4</c:v>
                </c:pt>
                <c:pt idx="7">
                  <c:v>8.8832487309644728E-3</c:v>
                </c:pt>
                <c:pt idx="8">
                  <c:v>8.6294416243654845E-2</c:v>
                </c:pt>
                <c:pt idx="9">
                  <c:v>0.18147208121827421</c:v>
                </c:pt>
                <c:pt idx="10">
                  <c:v>1.4022842639593906E-2</c:v>
                </c:pt>
              </c:numCache>
            </c:numRef>
          </c:val>
        </c:ser>
        <c:dLbls>
          <c:showVal val="1"/>
        </c:dLbls>
        <c:firstSliceAng val="0"/>
      </c:pieChart>
      <c:spPr>
        <a:noFill/>
        <a:ln>
          <a:noFill/>
        </a:ln>
      </c:spPr>
    </c:plotArea>
    <c:legend>
      <c:legendPos val="r"/>
      <c:layout>
        <c:manualLayout>
          <c:xMode val="edge"/>
          <c:yMode val="edge"/>
          <c:x val="0.58767789095265799"/>
          <c:y val="0.1715712365222648"/>
          <c:w val="0.32332414619533073"/>
          <c:h val="0.76779426961873964"/>
        </c:manualLayout>
      </c:layout>
      <c:txPr>
        <a:bodyPr/>
        <a:lstStyle/>
        <a:p>
          <a:pPr>
            <a:defRPr lang="en-US">
              <a:latin typeface="Verdana" pitchFamily="34" charset="0"/>
            </a:defRPr>
          </a:pPr>
          <a:endParaRPr lang="fr-FR"/>
        </a:p>
      </c:txPr>
    </c:legend>
    <c:plotVisOnly val="1"/>
  </c:chart>
  <c:spPr>
    <a:noFill/>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latin typeface="Verdana" pitchFamily="34" charset="0"/>
              </a:defRPr>
            </a:pPr>
            <a:r>
              <a:rPr lang="en-US" sz="1100">
                <a:latin typeface="Verdana" pitchFamily="34" charset="0"/>
              </a:rPr>
              <a:t>Augmentation de la température</a:t>
            </a:r>
          </a:p>
          <a:p>
            <a:pPr>
              <a:defRPr sz="1100">
                <a:latin typeface="Verdana" pitchFamily="34" charset="0"/>
              </a:defRPr>
            </a:pPr>
            <a:r>
              <a:rPr lang="en-US" sz="1100">
                <a:latin typeface="Verdana" pitchFamily="34" charset="0"/>
              </a:rPr>
              <a:t>à la surface de</a:t>
            </a:r>
            <a:r>
              <a:rPr lang="en-US" sz="1100" baseline="0">
                <a:latin typeface="Verdana" pitchFamily="34" charset="0"/>
              </a:rPr>
              <a:t> la Terre</a:t>
            </a:r>
            <a:endParaRPr lang="en-US" sz="1100">
              <a:latin typeface="Verdana" pitchFamily="34" charset="0"/>
            </a:endParaRPr>
          </a:p>
        </c:rich>
      </c:tx>
      <c:layout>
        <c:manualLayout>
          <c:xMode val="edge"/>
          <c:yMode val="edge"/>
          <c:x val="0.18028408398180401"/>
          <c:y val="4.11522633744856E-3"/>
        </c:manualLayout>
      </c:layout>
    </c:title>
    <c:plotArea>
      <c:layout>
        <c:manualLayout>
          <c:layoutTarget val="inner"/>
          <c:xMode val="edge"/>
          <c:yMode val="edge"/>
          <c:x val="0.16408767695984267"/>
          <c:y val="0.19276771875596771"/>
          <c:w val="0.7782125220924565"/>
          <c:h val="0.51273127896050064"/>
        </c:manualLayout>
      </c:layout>
      <c:scatterChart>
        <c:scatterStyle val="lineMarker"/>
        <c:ser>
          <c:idx val="0"/>
          <c:order val="0"/>
          <c:tx>
            <c:v>observation</c:v>
          </c:tx>
          <c:spPr>
            <a:ln>
              <a:solidFill>
                <a:schemeClr val="tx2"/>
              </a:solidFill>
            </a:ln>
          </c:spPr>
          <c:marker>
            <c:symbol val="none"/>
          </c:marker>
          <c:xVal>
            <c:numRef>
              <c:f>Feuil1!$A$104:$A$105</c:f>
              <c:numCache>
                <c:formatCode>General</c:formatCode>
                <c:ptCount val="2"/>
                <c:pt idx="0">
                  <c:v>1900</c:v>
                </c:pt>
                <c:pt idx="1">
                  <c:v>2000</c:v>
                </c:pt>
              </c:numCache>
            </c:numRef>
          </c:xVal>
          <c:yVal>
            <c:numRef>
              <c:f>Feuil1!$B$104:$B$105</c:f>
              <c:numCache>
                <c:formatCode>0.0</c:formatCode>
                <c:ptCount val="2"/>
                <c:pt idx="0">
                  <c:v>-0.60000000000000064</c:v>
                </c:pt>
                <c:pt idx="1">
                  <c:v>0</c:v>
                </c:pt>
              </c:numCache>
            </c:numRef>
          </c:yVal>
        </c:ser>
        <c:ser>
          <c:idx val="1"/>
          <c:order val="1"/>
          <c:tx>
            <c:v>scénario optimiste</c:v>
          </c:tx>
          <c:spPr>
            <a:ln>
              <a:solidFill>
                <a:schemeClr val="accent6"/>
              </a:solidFill>
            </a:ln>
          </c:spPr>
          <c:marker>
            <c:symbol val="none"/>
          </c:marker>
          <c:xVal>
            <c:numRef>
              <c:f>Feuil1!$A$105:$A$106</c:f>
              <c:numCache>
                <c:formatCode>General</c:formatCode>
                <c:ptCount val="2"/>
                <c:pt idx="0">
                  <c:v>2000</c:v>
                </c:pt>
                <c:pt idx="1">
                  <c:v>2100</c:v>
                </c:pt>
              </c:numCache>
            </c:numRef>
          </c:xVal>
          <c:yVal>
            <c:numRef>
              <c:f>Feuil1!$B$105:$B$106</c:f>
              <c:numCache>
                <c:formatCode>General</c:formatCode>
                <c:ptCount val="2"/>
                <c:pt idx="0" formatCode="0.0">
                  <c:v>0</c:v>
                </c:pt>
                <c:pt idx="1">
                  <c:v>1.8</c:v>
                </c:pt>
              </c:numCache>
            </c:numRef>
          </c:yVal>
        </c:ser>
        <c:ser>
          <c:idx val="2"/>
          <c:order val="2"/>
          <c:tx>
            <c:v>scénario pessimiste</c:v>
          </c:tx>
          <c:spPr>
            <a:ln>
              <a:solidFill>
                <a:srgbClr val="FF0000"/>
              </a:solidFill>
            </a:ln>
          </c:spPr>
          <c:marker>
            <c:symbol val="none"/>
          </c:marker>
          <c:xVal>
            <c:numRef>
              <c:f>Feuil1!$A$105:$A$106</c:f>
              <c:numCache>
                <c:formatCode>General</c:formatCode>
                <c:ptCount val="2"/>
                <c:pt idx="0">
                  <c:v>2000</c:v>
                </c:pt>
                <c:pt idx="1">
                  <c:v>2100</c:v>
                </c:pt>
              </c:numCache>
            </c:numRef>
          </c:xVal>
          <c:yVal>
            <c:numRef>
              <c:f>Feuil1!$C$105:$C$106</c:f>
              <c:numCache>
                <c:formatCode>0.0</c:formatCode>
                <c:ptCount val="2"/>
                <c:pt idx="0">
                  <c:v>0</c:v>
                </c:pt>
                <c:pt idx="1">
                  <c:v>4</c:v>
                </c:pt>
              </c:numCache>
            </c:numRef>
          </c:yVal>
        </c:ser>
        <c:axId val="65465344"/>
        <c:axId val="65467136"/>
      </c:scatterChart>
      <c:valAx>
        <c:axId val="65465344"/>
        <c:scaling>
          <c:orientation val="minMax"/>
          <c:max val="2100"/>
          <c:min val="1900"/>
        </c:scaling>
        <c:axPos val="b"/>
        <c:numFmt formatCode="0" sourceLinked="0"/>
        <c:majorTickMark val="in"/>
        <c:tickLblPos val="low"/>
        <c:txPr>
          <a:bodyPr/>
          <a:lstStyle/>
          <a:p>
            <a:pPr>
              <a:defRPr>
                <a:latin typeface="Verdana" pitchFamily="34" charset="0"/>
              </a:defRPr>
            </a:pPr>
            <a:endParaRPr lang="fr-FR"/>
          </a:p>
        </c:txPr>
        <c:crossAx val="65467136"/>
        <c:crossesAt val="0"/>
        <c:crossBetween val="midCat"/>
        <c:majorUnit val="100"/>
      </c:valAx>
      <c:valAx>
        <c:axId val="65467136"/>
        <c:scaling>
          <c:orientation val="minMax"/>
        </c:scaling>
        <c:axPos val="l"/>
        <c:majorGridlines/>
        <c:title>
          <c:tx>
            <c:rich>
              <a:bodyPr rot="-5400000" vert="horz"/>
              <a:lstStyle/>
              <a:p>
                <a:pPr>
                  <a:defRPr b="0"/>
                </a:pPr>
                <a:r>
                  <a:rPr lang="fr-FR" b="0">
                    <a:latin typeface="Verdana" pitchFamily="34" charset="0"/>
                  </a:rPr>
                  <a:t>Variations de température </a:t>
                </a:r>
                <a:r>
                  <a:rPr lang="fr-FR" b="0" baseline="0">
                    <a:latin typeface="Verdana" pitchFamily="34" charset="0"/>
                  </a:rPr>
                  <a:t>(°C)</a:t>
                </a:r>
                <a:endParaRPr lang="fr-FR" b="0">
                  <a:latin typeface="Verdana" pitchFamily="34" charset="0"/>
                </a:endParaRPr>
              </a:p>
            </c:rich>
          </c:tx>
          <c:layout>
            <c:manualLayout>
              <c:xMode val="edge"/>
              <c:yMode val="edge"/>
              <c:x val="1.5762123694269936E-3"/>
              <c:y val="6.8164064237733454E-2"/>
            </c:manualLayout>
          </c:layout>
        </c:title>
        <c:numFmt formatCode="0.0" sourceLinked="1"/>
        <c:tickLblPos val="nextTo"/>
        <c:txPr>
          <a:bodyPr/>
          <a:lstStyle/>
          <a:p>
            <a:pPr>
              <a:defRPr sz="800">
                <a:latin typeface="Verdana" pitchFamily="34" charset="0"/>
              </a:defRPr>
            </a:pPr>
            <a:endParaRPr lang="fr-FR"/>
          </a:p>
        </c:txPr>
        <c:crossAx val="65465344"/>
        <c:crossesAt val="1850"/>
        <c:crossBetween val="midCat"/>
      </c:valAx>
    </c:plotArea>
    <c:legend>
      <c:legendPos val="b"/>
      <c:layout>
        <c:manualLayout>
          <c:xMode val="edge"/>
          <c:yMode val="edge"/>
          <c:x val="0"/>
          <c:y val="0.82681928647809799"/>
          <c:w val="0.99758969406422049"/>
          <c:h val="7.421178834127215E-2"/>
        </c:manualLayout>
      </c:layout>
      <c:txPr>
        <a:bodyPr/>
        <a:lstStyle/>
        <a:p>
          <a:pPr>
            <a:defRPr>
              <a:latin typeface="Verdana" pitchFamily="34" charset="0"/>
            </a:defRPr>
          </a:pPr>
          <a:endParaRPr lang="fr-FR"/>
        </a:p>
      </c:txPr>
    </c:legend>
    <c:plotVisOnly val="1"/>
  </c:chart>
  <c:spPr>
    <a:noFill/>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100" b="0" i="1" u="none" strike="noStrike" baseline="0">
                <a:latin typeface="Verdana" pitchFamily="34" charset="0"/>
              </a:rPr>
              <a:t>Consommation finale d’énergie en France </a:t>
            </a:r>
            <a:endParaRPr lang="fr-FR" sz="1100" b="0" i="1">
              <a:latin typeface="Verdana" pitchFamily="34" charset="0"/>
            </a:endParaRPr>
          </a:p>
        </c:rich>
      </c:tx>
      <c:layout>
        <c:manualLayout>
          <c:xMode val="edge"/>
          <c:yMode val="edge"/>
          <c:x val="2.9189964157706094E-2"/>
          <c:y val="1.4285714285714285E-2"/>
        </c:manualLayout>
      </c:layout>
      <c:overlay val="1"/>
    </c:title>
    <c:plotArea>
      <c:layout>
        <c:manualLayout>
          <c:layoutTarget val="inner"/>
          <c:xMode val="edge"/>
          <c:yMode val="edge"/>
          <c:x val="0.11052815172297012"/>
          <c:y val="0.12420247469066367"/>
          <c:w val="0.61747839584568054"/>
          <c:h val="0.7380487439070117"/>
        </c:manualLayout>
      </c:layout>
      <c:barChart>
        <c:barDir val="col"/>
        <c:grouping val="percentStacked"/>
        <c:ser>
          <c:idx val="2"/>
          <c:order val="0"/>
          <c:tx>
            <c:strRef>
              <c:f>Feuil1!$A$123</c:f>
              <c:strCache>
                <c:ptCount val="1"/>
                <c:pt idx="0">
                  <c:v>industrie</c:v>
                </c:pt>
              </c:strCache>
            </c:strRef>
          </c:tx>
          <c:spPr>
            <a:solidFill>
              <a:schemeClr val="accent2">
                <a:lumMod val="50000"/>
              </a:schemeClr>
            </a:solidFill>
          </c:spPr>
          <c:dLbls>
            <c:spPr>
              <a:noFill/>
            </c:spPr>
            <c:txPr>
              <a:bodyPr/>
              <a:lstStyle/>
              <a:p>
                <a:pPr>
                  <a:defRPr sz="800">
                    <a:solidFill>
                      <a:schemeClr val="bg1"/>
                    </a:solidFill>
                    <a:latin typeface="Verdana" pitchFamily="34" charset="0"/>
                  </a:defRPr>
                </a:pPr>
                <a:endParaRPr lang="fr-FR"/>
              </a:p>
            </c:txPr>
            <c:dLblPos val="ctr"/>
            <c:showVal val="1"/>
          </c:dLbls>
          <c:cat>
            <c:numRef>
              <c:f>Feuil1!$B$122:$E$122</c:f>
              <c:numCache>
                <c:formatCode>General</c:formatCode>
                <c:ptCount val="4"/>
                <c:pt idx="0">
                  <c:v>1973</c:v>
                </c:pt>
                <c:pt idx="1">
                  <c:v>1990</c:v>
                </c:pt>
                <c:pt idx="2">
                  <c:v>2002</c:v>
                </c:pt>
                <c:pt idx="3">
                  <c:v>2010</c:v>
                </c:pt>
              </c:numCache>
            </c:numRef>
          </c:cat>
          <c:val>
            <c:numRef>
              <c:f>Feuil1!$B$123:$E$123</c:f>
              <c:numCache>
                <c:formatCode>0.0%</c:formatCode>
                <c:ptCount val="4"/>
                <c:pt idx="0">
                  <c:v>0.35900000000000032</c:v>
                </c:pt>
                <c:pt idx="1">
                  <c:v>0.27100000000000002</c:v>
                </c:pt>
                <c:pt idx="2">
                  <c:v>0.23900000000000021</c:v>
                </c:pt>
                <c:pt idx="3">
                  <c:v>0.224</c:v>
                </c:pt>
              </c:numCache>
            </c:numRef>
          </c:val>
        </c:ser>
        <c:ser>
          <c:idx val="3"/>
          <c:order val="1"/>
          <c:tx>
            <c:strRef>
              <c:f>Feuil1!$A$124</c:f>
              <c:strCache>
                <c:ptCount val="1"/>
                <c:pt idx="0">
                  <c:v>agriculture</c:v>
                </c:pt>
              </c:strCache>
            </c:strRef>
          </c:tx>
          <c:spPr>
            <a:solidFill>
              <a:schemeClr val="accent3">
                <a:lumMod val="50000"/>
              </a:schemeClr>
            </a:solidFill>
          </c:spPr>
          <c:dLbls>
            <c:spPr>
              <a:noFill/>
            </c:spPr>
            <c:txPr>
              <a:bodyPr/>
              <a:lstStyle/>
              <a:p>
                <a:pPr>
                  <a:defRPr sz="800">
                    <a:solidFill>
                      <a:schemeClr val="bg1"/>
                    </a:solidFill>
                    <a:latin typeface="Verdana" pitchFamily="34" charset="0"/>
                  </a:defRPr>
                </a:pPr>
                <a:endParaRPr lang="fr-FR"/>
              </a:p>
            </c:txPr>
            <c:dLblPos val="ctr"/>
            <c:showVal val="1"/>
          </c:dLbls>
          <c:cat>
            <c:numRef>
              <c:f>Feuil1!$B$122:$E$122</c:f>
              <c:numCache>
                <c:formatCode>General</c:formatCode>
                <c:ptCount val="4"/>
                <c:pt idx="0">
                  <c:v>1973</c:v>
                </c:pt>
                <c:pt idx="1">
                  <c:v>1990</c:v>
                </c:pt>
                <c:pt idx="2">
                  <c:v>2002</c:v>
                </c:pt>
                <c:pt idx="3">
                  <c:v>2010</c:v>
                </c:pt>
              </c:numCache>
            </c:numRef>
          </c:cat>
          <c:val>
            <c:numRef>
              <c:f>Feuil1!$B$124:$E$124</c:f>
              <c:numCache>
                <c:formatCode>0.0%</c:formatCode>
                <c:ptCount val="4"/>
                <c:pt idx="0">
                  <c:v>2.7000000000000256E-2</c:v>
                </c:pt>
                <c:pt idx="1">
                  <c:v>2.8000000000000001E-2</c:v>
                </c:pt>
                <c:pt idx="2">
                  <c:v>2.8000000000000001E-2</c:v>
                </c:pt>
                <c:pt idx="3">
                  <c:v>2.5999999999999999E-2</c:v>
                </c:pt>
              </c:numCache>
            </c:numRef>
          </c:val>
        </c:ser>
        <c:ser>
          <c:idx val="4"/>
          <c:order val="2"/>
          <c:tx>
            <c:strRef>
              <c:f>Feuil1!$A$125</c:f>
              <c:strCache>
                <c:ptCount val="1"/>
                <c:pt idx="0">
                  <c:v>transports</c:v>
                </c:pt>
              </c:strCache>
            </c:strRef>
          </c:tx>
          <c:spPr>
            <a:solidFill>
              <a:schemeClr val="accent6"/>
            </a:solidFill>
          </c:spPr>
          <c:dLbls>
            <c:spPr>
              <a:noFill/>
            </c:spPr>
            <c:txPr>
              <a:bodyPr/>
              <a:lstStyle/>
              <a:p>
                <a:pPr>
                  <a:defRPr sz="800">
                    <a:latin typeface="Verdana" pitchFamily="34" charset="0"/>
                  </a:defRPr>
                </a:pPr>
                <a:endParaRPr lang="fr-FR"/>
              </a:p>
            </c:txPr>
            <c:dLblPos val="ctr"/>
            <c:showVal val="1"/>
          </c:dLbls>
          <c:cat>
            <c:numRef>
              <c:f>Feuil1!$B$122:$E$122</c:f>
              <c:numCache>
                <c:formatCode>General</c:formatCode>
                <c:ptCount val="4"/>
                <c:pt idx="0">
                  <c:v>1973</c:v>
                </c:pt>
                <c:pt idx="1">
                  <c:v>1990</c:v>
                </c:pt>
                <c:pt idx="2">
                  <c:v>2002</c:v>
                </c:pt>
                <c:pt idx="3">
                  <c:v>2010</c:v>
                </c:pt>
              </c:numCache>
            </c:numRef>
          </c:cat>
          <c:val>
            <c:numRef>
              <c:f>Feuil1!$B$125:$E$125</c:f>
              <c:numCache>
                <c:formatCode>0.0%</c:formatCode>
                <c:ptCount val="4"/>
                <c:pt idx="0">
                  <c:v>0.19400000000000001</c:v>
                </c:pt>
                <c:pt idx="1">
                  <c:v>0.29000000000000031</c:v>
                </c:pt>
                <c:pt idx="2">
                  <c:v>0.31500000000000444</c:v>
                </c:pt>
                <c:pt idx="3">
                  <c:v>0.31800000000000472</c:v>
                </c:pt>
              </c:numCache>
            </c:numRef>
          </c:val>
        </c:ser>
        <c:ser>
          <c:idx val="5"/>
          <c:order val="3"/>
          <c:tx>
            <c:strRef>
              <c:f>Feuil1!$A$126</c:f>
              <c:strCache>
                <c:ptCount val="1"/>
                <c:pt idx="0">
                  <c:v>tertiaire et résidentiel</c:v>
                </c:pt>
              </c:strCache>
            </c:strRef>
          </c:tx>
          <c:spPr>
            <a:solidFill>
              <a:schemeClr val="accent5"/>
            </a:solidFill>
          </c:spPr>
          <c:dLbls>
            <c:spPr>
              <a:noFill/>
            </c:spPr>
            <c:txPr>
              <a:bodyPr/>
              <a:lstStyle/>
              <a:p>
                <a:pPr>
                  <a:defRPr sz="800">
                    <a:solidFill>
                      <a:schemeClr val="bg1"/>
                    </a:solidFill>
                    <a:latin typeface="Verdana" pitchFamily="34" charset="0"/>
                  </a:defRPr>
                </a:pPr>
                <a:endParaRPr lang="fr-FR"/>
              </a:p>
            </c:txPr>
            <c:dLblPos val="ctr"/>
            <c:showVal val="1"/>
          </c:dLbls>
          <c:cat>
            <c:numRef>
              <c:f>Feuil1!$B$122:$E$122</c:f>
              <c:numCache>
                <c:formatCode>General</c:formatCode>
                <c:ptCount val="4"/>
                <c:pt idx="0">
                  <c:v>1973</c:v>
                </c:pt>
                <c:pt idx="1">
                  <c:v>1990</c:v>
                </c:pt>
                <c:pt idx="2">
                  <c:v>2002</c:v>
                </c:pt>
                <c:pt idx="3">
                  <c:v>2010</c:v>
                </c:pt>
              </c:numCache>
            </c:numRef>
          </c:cat>
          <c:val>
            <c:numRef>
              <c:f>Feuil1!$B$126:$E$126</c:f>
              <c:numCache>
                <c:formatCode>0.0%</c:formatCode>
                <c:ptCount val="4"/>
                <c:pt idx="0">
                  <c:v>0.42000000000000032</c:v>
                </c:pt>
                <c:pt idx="1">
                  <c:v>0.41000000000000031</c:v>
                </c:pt>
                <c:pt idx="2">
                  <c:v>0.41900000000000032</c:v>
                </c:pt>
                <c:pt idx="3">
                  <c:v>0.43200000000000038</c:v>
                </c:pt>
              </c:numCache>
            </c:numRef>
          </c:val>
        </c:ser>
        <c:dLbls>
          <c:showVal val="1"/>
        </c:dLbls>
        <c:gapWidth val="70"/>
        <c:overlap val="100"/>
        <c:axId val="66831104"/>
        <c:axId val="66832640"/>
      </c:barChart>
      <c:catAx>
        <c:axId val="66831104"/>
        <c:scaling>
          <c:orientation val="minMax"/>
        </c:scaling>
        <c:axPos val="b"/>
        <c:numFmt formatCode="General" sourceLinked="1"/>
        <c:tickLblPos val="nextTo"/>
        <c:txPr>
          <a:bodyPr/>
          <a:lstStyle/>
          <a:p>
            <a:pPr>
              <a:defRPr>
                <a:latin typeface="Verdana" pitchFamily="34" charset="0"/>
              </a:defRPr>
            </a:pPr>
            <a:endParaRPr lang="fr-FR"/>
          </a:p>
        </c:txPr>
        <c:crossAx val="66832640"/>
        <c:crosses val="autoZero"/>
        <c:auto val="1"/>
        <c:lblAlgn val="ctr"/>
        <c:lblOffset val="100"/>
      </c:catAx>
      <c:valAx>
        <c:axId val="66832640"/>
        <c:scaling>
          <c:orientation val="minMax"/>
        </c:scaling>
        <c:axPos val="l"/>
        <c:majorGridlines/>
        <c:numFmt formatCode="0%" sourceLinked="1"/>
        <c:tickLblPos val="nextTo"/>
        <c:txPr>
          <a:bodyPr/>
          <a:lstStyle/>
          <a:p>
            <a:pPr>
              <a:defRPr sz="800">
                <a:latin typeface="Verdana" pitchFamily="34" charset="0"/>
              </a:defRPr>
            </a:pPr>
            <a:endParaRPr lang="fr-FR"/>
          </a:p>
        </c:txPr>
        <c:crossAx val="66831104"/>
        <c:crosses val="autoZero"/>
        <c:crossBetween val="between"/>
        <c:majorUnit val="0.2"/>
      </c:valAx>
      <c:spPr>
        <a:noFill/>
      </c:spPr>
    </c:plotArea>
    <c:legend>
      <c:legendPos val="r"/>
      <c:layout>
        <c:manualLayout>
          <c:xMode val="edge"/>
          <c:yMode val="edge"/>
          <c:x val="0.69274156859424862"/>
          <c:y val="0.14955380577427821"/>
          <c:w val="0.2672046961871703"/>
          <c:h val="0.69275624860618945"/>
        </c:manualLayout>
      </c:layout>
      <c:txPr>
        <a:bodyPr/>
        <a:lstStyle/>
        <a:p>
          <a:pPr>
            <a:defRPr>
              <a:latin typeface="Verdana" pitchFamily="34" charset="0"/>
            </a:defRPr>
          </a:pPr>
          <a:endParaRPr lang="fr-FR"/>
        </a:p>
      </c:txP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latin typeface="Verdana" pitchFamily="34" charset="0"/>
              </a:defRPr>
            </a:pPr>
            <a:r>
              <a:rPr lang="en-US" sz="1100" b="0" i="1">
                <a:latin typeface="Verdana" pitchFamily="34" charset="0"/>
              </a:rPr>
              <a:t>Emission de CO</a:t>
            </a:r>
            <a:r>
              <a:rPr lang="en-US" sz="1100" b="0" i="1" baseline="-25000">
                <a:latin typeface="Verdana" pitchFamily="34" charset="0"/>
              </a:rPr>
              <a:t>2</a:t>
            </a:r>
            <a:r>
              <a:rPr lang="en-US" sz="1100" b="0" i="1">
                <a:latin typeface="Verdana" pitchFamily="34" charset="0"/>
              </a:rPr>
              <a:t> par secteur d'activité en France</a:t>
            </a:r>
          </a:p>
          <a:p>
            <a:pPr>
              <a:defRPr sz="1100">
                <a:latin typeface="Verdana" pitchFamily="34" charset="0"/>
              </a:defRPr>
            </a:pPr>
            <a:r>
              <a:rPr lang="en-US" sz="1100" b="0" i="1">
                <a:latin typeface="Verdana" pitchFamily="34" charset="0"/>
              </a:rPr>
              <a:t>en 2008</a:t>
            </a:r>
          </a:p>
        </c:rich>
      </c:tx>
      <c:layout>
        <c:manualLayout>
          <c:xMode val="edge"/>
          <c:yMode val="edge"/>
          <c:x val="0.13365745948423124"/>
          <c:y val="0"/>
        </c:manualLayout>
      </c:layout>
      <c:overlay val="1"/>
    </c:title>
    <c:plotArea>
      <c:layout>
        <c:manualLayout>
          <c:layoutTarget val="inner"/>
          <c:xMode val="edge"/>
          <c:yMode val="edge"/>
          <c:x val="9.2262842144732002E-2"/>
          <c:y val="0.16607885991437377"/>
          <c:w val="0.42830604507769904"/>
          <c:h val="0.81871201461034104"/>
        </c:manualLayout>
      </c:layout>
      <c:pieChart>
        <c:varyColors val="1"/>
        <c:ser>
          <c:idx val="0"/>
          <c:order val="0"/>
          <c:explosion val="25"/>
          <c:dPt>
            <c:idx val="0"/>
            <c:spPr>
              <a:solidFill>
                <a:schemeClr val="bg1">
                  <a:lumMod val="50000"/>
                </a:schemeClr>
              </a:solidFill>
            </c:spPr>
          </c:dPt>
          <c:dPt>
            <c:idx val="1"/>
            <c:spPr>
              <a:solidFill>
                <a:srgbClr val="C00000">
                  <a:alpha val="30000"/>
                </a:srgbClr>
              </a:solidFill>
            </c:spPr>
          </c:dPt>
          <c:dLbls>
            <c:dLbl>
              <c:idx val="0"/>
              <c:layout>
                <c:manualLayout>
                  <c:x val="4.1802274715660552E-2"/>
                  <c:y val="9.7298084887677994E-2"/>
                </c:manualLayout>
              </c:layout>
              <c:showPercent val="1"/>
            </c:dLbl>
            <c:dLbl>
              <c:idx val="1"/>
              <c:layout>
                <c:manualLayout>
                  <c:x val="6.0790118469266463E-2"/>
                  <c:y val="-0.32309206541490826"/>
                </c:manualLayout>
              </c:layout>
              <c:showPercent val="1"/>
            </c:dLbl>
            <c:numFmt formatCode="0.0%" sourceLinked="0"/>
            <c:txPr>
              <a:bodyPr/>
              <a:lstStyle/>
              <a:p>
                <a:pPr>
                  <a:defRPr sz="800">
                    <a:latin typeface="Verdana" pitchFamily="34" charset="0"/>
                  </a:defRPr>
                </a:pPr>
                <a:endParaRPr lang="fr-FR"/>
              </a:p>
            </c:txPr>
            <c:showPercent val="1"/>
            <c:showLeaderLines val="1"/>
          </c:dLbls>
          <c:cat>
            <c:strRef>
              <c:f>(Feuil1!$A$185;Feuil1!$A$178)</c:f>
              <c:strCache>
                <c:ptCount val="2"/>
                <c:pt idx="0">
                  <c:v>hors combustion</c:v>
                </c:pt>
                <c:pt idx="1">
                  <c:v>combustion énergie</c:v>
                </c:pt>
              </c:strCache>
            </c:strRef>
          </c:cat>
          <c:val>
            <c:numRef>
              <c:f>(Feuil1!$B$185;Feuil1!$B$178)</c:f>
              <c:numCache>
                <c:formatCode>0.0%</c:formatCode>
                <c:ptCount val="2"/>
                <c:pt idx="0">
                  <c:v>5.8000000000000003E-2</c:v>
                </c:pt>
                <c:pt idx="1">
                  <c:v>0.94199999999999995</c:v>
                </c:pt>
              </c:numCache>
            </c:numRef>
          </c:val>
        </c:ser>
        <c:dLbls>
          <c:showPercent val="1"/>
        </c:dLbls>
        <c:firstSliceAng val="0"/>
      </c:pieChart>
    </c:plotArea>
    <c:legend>
      <c:legendPos val="r"/>
      <c:layout>
        <c:manualLayout>
          <c:xMode val="edge"/>
          <c:yMode val="edge"/>
          <c:x val="0.51263071282756323"/>
          <c:y val="0.20415197149785935"/>
          <c:w val="0.30867884514436655"/>
          <c:h val="0.21088599501985328"/>
        </c:manualLayout>
      </c:layout>
      <c:txPr>
        <a:bodyPr/>
        <a:lstStyle/>
        <a:p>
          <a:pPr rtl="0">
            <a:defRPr>
              <a:latin typeface="Verdana" pitchFamily="34" charset="0"/>
            </a:defRPr>
          </a:pPr>
          <a:endParaRPr lang="fr-FR"/>
        </a:p>
      </c:txP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4310960267897538"/>
          <c:y val="3.2177058948712491E-3"/>
          <c:w val="0.42242432305881622"/>
          <c:h val="0.89703989703990061"/>
        </c:manualLayout>
      </c:layout>
      <c:pieChart>
        <c:varyColors val="1"/>
        <c:ser>
          <c:idx val="0"/>
          <c:order val="0"/>
          <c:explosion val="25"/>
          <c:dPt>
            <c:idx val="0"/>
            <c:explosion val="17"/>
            <c:spPr>
              <a:noFill/>
            </c:spPr>
          </c:dPt>
          <c:dPt>
            <c:idx val="1"/>
            <c:explosion val="19"/>
            <c:spPr>
              <a:solidFill>
                <a:schemeClr val="accent2">
                  <a:lumMod val="50000"/>
                </a:schemeClr>
              </a:solidFill>
            </c:spPr>
          </c:dPt>
          <c:dPt>
            <c:idx val="2"/>
            <c:explosion val="16"/>
            <c:spPr>
              <a:solidFill>
                <a:schemeClr val="accent6"/>
              </a:solidFill>
            </c:spPr>
          </c:dPt>
          <c:dPt>
            <c:idx val="3"/>
            <c:explosion val="15"/>
            <c:spPr>
              <a:solidFill>
                <a:schemeClr val="accent5"/>
              </a:solidFill>
            </c:spPr>
          </c:dPt>
          <c:dPt>
            <c:idx val="4"/>
            <c:explosion val="17"/>
            <c:spPr>
              <a:solidFill>
                <a:srgbClr val="FF0000"/>
              </a:solidFill>
            </c:spPr>
          </c:dPt>
          <c:dPt>
            <c:idx val="5"/>
            <c:spPr>
              <a:solidFill>
                <a:schemeClr val="accent3"/>
              </a:solidFill>
            </c:spPr>
          </c:dPt>
          <c:dLbls>
            <c:dLbl>
              <c:idx val="0"/>
              <c:delete val="1"/>
            </c:dLbl>
            <c:dLbl>
              <c:idx val="1"/>
              <c:spPr/>
              <c:txPr>
                <a:bodyPr/>
                <a:lstStyle/>
                <a:p>
                  <a:pPr>
                    <a:defRPr sz="800">
                      <a:solidFill>
                        <a:schemeClr val="bg1"/>
                      </a:solidFill>
                      <a:latin typeface="Verdana" pitchFamily="34" charset="0"/>
                    </a:defRPr>
                  </a:pPr>
                  <a:endParaRPr lang="fr-FR"/>
                </a:p>
              </c:txPr>
            </c:dLbl>
            <c:dLbl>
              <c:idx val="4"/>
              <c:spPr>
                <a:noFill/>
              </c:spPr>
              <c:txPr>
                <a:bodyPr/>
                <a:lstStyle/>
                <a:p>
                  <a:pPr>
                    <a:defRPr sz="800">
                      <a:latin typeface="Verdana" pitchFamily="34" charset="0"/>
                    </a:defRPr>
                  </a:pPr>
                  <a:endParaRPr lang="fr-FR"/>
                </a:p>
              </c:txPr>
            </c:dLbl>
            <c:txPr>
              <a:bodyPr/>
              <a:lstStyle/>
              <a:p>
                <a:pPr>
                  <a:defRPr sz="800">
                    <a:latin typeface="Verdana" pitchFamily="34" charset="0"/>
                  </a:defRPr>
                </a:pPr>
                <a:endParaRPr lang="fr-FR"/>
              </a:p>
            </c:txPr>
            <c:dLblPos val="inEnd"/>
            <c:showVal val="1"/>
            <c:showLeaderLines val="1"/>
          </c:dLbls>
          <c:cat>
            <c:strRef>
              <c:f>(Feuil1!$A$185;Feuil1!$C$179;Feuil1!$C$180;Feuil1!$C$181;Feuil1!$C$182;Feuil1!$C$183)</c:f>
              <c:strCache>
                <c:ptCount val="6"/>
                <c:pt idx="0">
                  <c:v>hors combustion</c:v>
                </c:pt>
                <c:pt idx="1">
                  <c:v>industrie</c:v>
                </c:pt>
                <c:pt idx="2">
                  <c:v>transport</c:v>
                </c:pt>
                <c:pt idx="3">
                  <c:v>résidentielle – tertiaire</c:v>
                </c:pt>
                <c:pt idx="4">
                  <c:v>production d’électricité et chaleur</c:v>
                </c:pt>
                <c:pt idx="5">
                  <c:v>autre</c:v>
                </c:pt>
              </c:strCache>
            </c:strRef>
          </c:cat>
          <c:val>
            <c:numRef>
              <c:f>(Feuil1!$B$185;Feuil1!$D$179:$D$183)</c:f>
              <c:numCache>
                <c:formatCode>0.0%</c:formatCode>
                <c:ptCount val="6"/>
                <c:pt idx="0">
                  <c:v>5.8000000000000003E-2</c:v>
                </c:pt>
                <c:pt idx="1">
                  <c:v>0.18700000000000044</c:v>
                </c:pt>
                <c:pt idx="2">
                  <c:v>0.33200000000000557</c:v>
                </c:pt>
                <c:pt idx="3">
                  <c:v>0.22500000000000001</c:v>
                </c:pt>
                <c:pt idx="4">
                  <c:v>0.114</c:v>
                </c:pt>
                <c:pt idx="5">
                  <c:v>8.4000000000000047E-2</c:v>
                </c:pt>
              </c:numCache>
            </c:numRef>
          </c:val>
        </c:ser>
        <c:firstSliceAng val="0"/>
      </c:pieChart>
    </c:plotArea>
    <c:legend>
      <c:legendPos val="r"/>
      <c:legendEntry>
        <c:idx val="0"/>
        <c:delete val="1"/>
      </c:legendEntry>
      <c:layout>
        <c:manualLayout>
          <c:xMode val="edge"/>
          <c:yMode val="edge"/>
          <c:x val="0.58152973119739348"/>
          <c:y val="0.18034678097670237"/>
          <c:w val="0.41747832383021138"/>
          <c:h val="0.57733013103091846"/>
        </c:manualLayout>
      </c:layout>
      <c:txPr>
        <a:bodyPr/>
        <a:lstStyle/>
        <a:p>
          <a:pPr>
            <a:defRPr>
              <a:latin typeface="Verdana" pitchFamily="34" charset="0"/>
            </a:defRPr>
          </a:pPr>
          <a:endParaRPr lang="fr-FR"/>
        </a:p>
      </c:txP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latin typeface="Verdana" pitchFamily="34" charset="0"/>
              </a:defRPr>
            </a:pPr>
            <a:r>
              <a:rPr lang="fr-FR" sz="1100" b="0" i="1" baseline="0">
                <a:latin typeface="Verdana" pitchFamily="34" charset="0"/>
              </a:rPr>
              <a:t>Tertiaire et résidentiel</a:t>
            </a:r>
          </a:p>
        </c:rich>
      </c:tx>
      <c:layout>
        <c:manualLayout>
          <c:xMode val="edge"/>
          <c:yMode val="edge"/>
          <c:x val="0.26244696157166447"/>
          <c:y val="6.4947468958930374E-2"/>
        </c:manualLayout>
      </c:layout>
      <c:overlay val="1"/>
    </c:title>
    <c:plotArea>
      <c:layout>
        <c:manualLayout>
          <c:layoutTarget val="inner"/>
          <c:xMode val="edge"/>
          <c:yMode val="edge"/>
          <c:x val="0.15027919755644914"/>
          <c:y val="0.15941520203957568"/>
          <c:w val="0.84920998910223244"/>
          <c:h val="0.59229474539178306"/>
        </c:manualLayout>
      </c:layout>
      <c:barChart>
        <c:barDir val="col"/>
        <c:grouping val="percentStacked"/>
        <c:ser>
          <c:idx val="0"/>
          <c:order val="0"/>
          <c:tx>
            <c:strRef>
              <c:f>Feuil1!$A$166</c:f>
              <c:strCache>
                <c:ptCount val="1"/>
                <c:pt idx="0">
                  <c:v>charbon</c:v>
                </c:pt>
              </c:strCache>
            </c:strRef>
          </c:tx>
          <c:spPr>
            <a:solidFill>
              <a:schemeClr val="accent4">
                <a:lumMod val="50000"/>
              </a:schemeClr>
            </a:solidFill>
            <a:ln>
              <a:noFill/>
            </a:ln>
          </c:spPr>
          <c:dLbls>
            <c:dLbl>
              <c:idx val="0"/>
              <c:layout>
                <c:manualLayout>
                  <c:x val="0"/>
                  <c:y val="4.3715846994535519E-3"/>
                </c:manualLayout>
              </c:layout>
              <c:dLblPos val="ctr"/>
              <c:showVal val="1"/>
            </c:dLbl>
            <c:dLbl>
              <c:idx val="1"/>
              <c:layout>
                <c:manualLayout>
                  <c:x val="0"/>
                  <c:y val="-1.2820790843767738E-2"/>
                </c:manualLayout>
              </c:layout>
              <c:dLblPos val="ctr"/>
              <c:showVal val="1"/>
            </c:dLbl>
            <c:dLbl>
              <c:idx val="2"/>
              <c:layout>
                <c:manualLayout>
                  <c:x val="-2.2433093299235724E-7"/>
                  <c:y val="-2.1563616023406916E-2"/>
                </c:manualLayout>
              </c:layout>
              <c:dLblPos val="ctr"/>
              <c:showVal val="1"/>
            </c:dLbl>
            <c:dLbl>
              <c:idx val="3"/>
              <c:layout>
                <c:manualLayout>
                  <c:x val="0"/>
                  <c:y val="-1.7192031323953357E-2"/>
                </c:manualLayout>
              </c:layout>
              <c:dLblPos val="ctr"/>
              <c:showVal val="1"/>
            </c:dLbl>
            <c:txPr>
              <a:bodyPr/>
              <a:lstStyle/>
              <a:p>
                <a:pPr>
                  <a:defRPr sz="800">
                    <a:solidFill>
                      <a:schemeClr val="bg1"/>
                    </a:solidFill>
                    <a:latin typeface="Verdana" pitchFamily="34" charset="0"/>
                  </a:defRPr>
                </a:pPr>
                <a:endParaRPr lang="fr-FR"/>
              </a:p>
            </c:txPr>
            <c:dLblPos val="ctr"/>
            <c:showVal val="1"/>
          </c:dLbls>
          <c:cat>
            <c:numRef>
              <c:f>(Feuil1!$B$165,Feuil1!$D$165,Feuil1!$F$165,Feuil1!$H$165)</c:f>
              <c:numCache>
                <c:formatCode>General</c:formatCode>
                <c:ptCount val="4"/>
                <c:pt idx="0">
                  <c:v>1973</c:v>
                </c:pt>
                <c:pt idx="1">
                  <c:v>1990</c:v>
                </c:pt>
                <c:pt idx="2">
                  <c:v>2002</c:v>
                </c:pt>
                <c:pt idx="3">
                  <c:v>2010</c:v>
                </c:pt>
              </c:numCache>
            </c:numRef>
          </c:cat>
          <c:val>
            <c:numRef>
              <c:f>(Feuil1!$B$166,Feuil1!$D$166,Feuil1!$F$166,Feuil1!$H$166)</c:f>
              <c:numCache>
                <c:formatCode>0.0%</c:formatCode>
                <c:ptCount val="4"/>
                <c:pt idx="0">
                  <c:v>9.9644128113881569E-2</c:v>
                </c:pt>
                <c:pt idx="1">
                  <c:v>3.1195840554592812E-2</c:v>
                </c:pt>
                <c:pt idx="2">
                  <c:v>7.4404761904762959E-3</c:v>
                </c:pt>
                <c:pt idx="3">
                  <c:v>4.3988269794721403E-3</c:v>
                </c:pt>
              </c:numCache>
            </c:numRef>
          </c:val>
        </c:ser>
        <c:ser>
          <c:idx val="1"/>
          <c:order val="1"/>
          <c:tx>
            <c:strRef>
              <c:f>Feuil1!$A$167</c:f>
              <c:strCache>
                <c:ptCount val="1"/>
                <c:pt idx="0">
                  <c:v>pétrole</c:v>
                </c:pt>
              </c:strCache>
            </c:strRef>
          </c:tx>
          <c:spPr>
            <a:solidFill>
              <a:srgbClr val="7030A0"/>
            </a:solidFill>
            <a:ln>
              <a:noFill/>
            </a:ln>
          </c:spPr>
          <c:dLbls>
            <c:dLbl>
              <c:idx val="2"/>
              <c:layout>
                <c:manualLayout>
                  <c:x val="0"/>
                  <c:y val="-8.743169398907024E-3"/>
                </c:manualLayout>
              </c:layout>
              <c:showVal val="1"/>
            </c:dLbl>
            <c:dLbl>
              <c:idx val="3"/>
              <c:layout>
                <c:manualLayout>
                  <c:x val="0"/>
                  <c:y val="-2.6229508196721391E-2"/>
                </c:manualLayout>
              </c:layout>
              <c:showVal val="1"/>
            </c:dLbl>
            <c:txPr>
              <a:bodyPr/>
              <a:lstStyle/>
              <a:p>
                <a:pPr>
                  <a:defRPr sz="800">
                    <a:solidFill>
                      <a:schemeClr val="bg1"/>
                    </a:solidFill>
                    <a:latin typeface="Verdana" pitchFamily="34" charset="0"/>
                  </a:defRPr>
                </a:pPr>
                <a:endParaRPr lang="fr-FR"/>
              </a:p>
            </c:txPr>
            <c:showVal val="1"/>
          </c:dLbls>
          <c:cat>
            <c:numRef>
              <c:f>(Feuil1!$B$165,Feuil1!$D$165,Feuil1!$F$165,Feuil1!$H$165)</c:f>
              <c:numCache>
                <c:formatCode>General</c:formatCode>
                <c:ptCount val="4"/>
                <c:pt idx="0">
                  <c:v>1973</c:v>
                </c:pt>
                <c:pt idx="1">
                  <c:v>1990</c:v>
                </c:pt>
                <c:pt idx="2">
                  <c:v>2002</c:v>
                </c:pt>
                <c:pt idx="3">
                  <c:v>2010</c:v>
                </c:pt>
              </c:numCache>
            </c:numRef>
          </c:cat>
          <c:val>
            <c:numRef>
              <c:f>(Feuil1!$B$167,Feuil1!$D$167,Feuil1!$F$167,Feuil1!$H$167)</c:f>
              <c:numCache>
                <c:formatCode>0.0%</c:formatCode>
                <c:ptCount val="4"/>
                <c:pt idx="0">
                  <c:v>0.58185053380782858</c:v>
                </c:pt>
                <c:pt idx="1">
                  <c:v>0.31195840554593146</c:v>
                </c:pt>
                <c:pt idx="2">
                  <c:v>0.22321428571428745</c:v>
                </c:pt>
                <c:pt idx="3">
                  <c:v>0.15835777126099709</c:v>
                </c:pt>
              </c:numCache>
            </c:numRef>
          </c:val>
        </c:ser>
        <c:ser>
          <c:idx val="2"/>
          <c:order val="2"/>
          <c:tx>
            <c:strRef>
              <c:f>Feuil1!$A$168</c:f>
              <c:strCache>
                <c:ptCount val="1"/>
                <c:pt idx="0">
                  <c:v>gaz naturel</c:v>
                </c:pt>
              </c:strCache>
            </c:strRef>
          </c:tx>
          <c:spPr>
            <a:solidFill>
              <a:schemeClr val="accent4">
                <a:lumMod val="60000"/>
                <a:lumOff val="40000"/>
              </a:schemeClr>
            </a:solidFill>
          </c:spPr>
          <c:dLbls>
            <c:txPr>
              <a:bodyPr/>
              <a:lstStyle/>
              <a:p>
                <a:pPr>
                  <a:defRPr sz="800">
                    <a:latin typeface="Verdana" pitchFamily="34" charset="0"/>
                  </a:defRPr>
                </a:pPr>
                <a:endParaRPr lang="fr-FR"/>
              </a:p>
            </c:txPr>
            <c:showVal val="1"/>
          </c:dLbls>
          <c:cat>
            <c:numRef>
              <c:f>(Feuil1!$B$165,Feuil1!$D$165,Feuil1!$F$165,Feuil1!$H$165)</c:f>
              <c:numCache>
                <c:formatCode>General</c:formatCode>
                <c:ptCount val="4"/>
                <c:pt idx="0">
                  <c:v>1973</c:v>
                </c:pt>
                <c:pt idx="1">
                  <c:v>1990</c:v>
                </c:pt>
                <c:pt idx="2">
                  <c:v>2002</c:v>
                </c:pt>
                <c:pt idx="3">
                  <c:v>2010</c:v>
                </c:pt>
              </c:numCache>
            </c:numRef>
          </c:cat>
          <c:val>
            <c:numRef>
              <c:f>(Feuil1!$B$168,Feuil1!$D$168,Feuil1!$F$168,Feuil1!$H$168)</c:f>
              <c:numCache>
                <c:formatCode>0.0%</c:formatCode>
                <c:ptCount val="4"/>
                <c:pt idx="0">
                  <c:v>9.7864768683275247E-2</c:v>
                </c:pt>
                <c:pt idx="1">
                  <c:v>0.23916811091854417</c:v>
                </c:pt>
                <c:pt idx="2">
                  <c:v>0.34077380952380948</c:v>
                </c:pt>
                <c:pt idx="3">
                  <c:v>0.31671554252199413</c:v>
                </c:pt>
              </c:numCache>
            </c:numRef>
          </c:val>
        </c:ser>
        <c:ser>
          <c:idx val="3"/>
          <c:order val="3"/>
          <c:tx>
            <c:strRef>
              <c:f>Feuil1!$A$169</c:f>
              <c:strCache>
                <c:ptCount val="1"/>
                <c:pt idx="0">
                  <c:v>électricité</c:v>
                </c:pt>
              </c:strCache>
            </c:strRef>
          </c:tx>
          <c:spPr>
            <a:solidFill>
              <a:schemeClr val="accent5"/>
            </a:solidFill>
          </c:spPr>
          <c:dLbls>
            <c:txPr>
              <a:bodyPr/>
              <a:lstStyle/>
              <a:p>
                <a:pPr>
                  <a:defRPr sz="800">
                    <a:latin typeface="Verdana" pitchFamily="34" charset="0"/>
                  </a:defRPr>
                </a:pPr>
                <a:endParaRPr lang="fr-FR"/>
              </a:p>
            </c:txPr>
            <c:showVal val="1"/>
          </c:dLbls>
          <c:cat>
            <c:numRef>
              <c:f>(Feuil1!$B$165,Feuil1!$D$165,Feuil1!$F$165,Feuil1!$H$165)</c:f>
              <c:numCache>
                <c:formatCode>General</c:formatCode>
                <c:ptCount val="4"/>
                <c:pt idx="0">
                  <c:v>1973</c:v>
                </c:pt>
                <c:pt idx="1">
                  <c:v>1990</c:v>
                </c:pt>
                <c:pt idx="2">
                  <c:v>2002</c:v>
                </c:pt>
                <c:pt idx="3">
                  <c:v>2010</c:v>
                </c:pt>
              </c:numCache>
            </c:numRef>
          </c:cat>
          <c:val>
            <c:numRef>
              <c:f>(Feuil1!$B$169,Feuil1!$D$169,Feuil1!$F$169,Feuil1!$H$169)</c:f>
              <c:numCache>
                <c:formatCode>0.0%</c:formatCode>
                <c:ptCount val="4"/>
                <c:pt idx="0">
                  <c:v>8.7188612099644111E-2</c:v>
                </c:pt>
                <c:pt idx="1">
                  <c:v>0.25823223570190629</c:v>
                </c:pt>
                <c:pt idx="2">
                  <c:v>0.31250000000000333</c:v>
                </c:pt>
                <c:pt idx="3">
                  <c:v>0.37976539589443337</c:v>
                </c:pt>
              </c:numCache>
            </c:numRef>
          </c:val>
        </c:ser>
        <c:ser>
          <c:idx val="4"/>
          <c:order val="4"/>
          <c:tx>
            <c:strRef>
              <c:f>Feuil1!$A$170</c:f>
              <c:strCache>
                <c:ptCount val="1"/>
                <c:pt idx="0">
                  <c:v>énergies renouvelables</c:v>
                </c:pt>
              </c:strCache>
            </c:strRef>
          </c:tx>
          <c:spPr>
            <a:solidFill>
              <a:schemeClr val="accent3"/>
            </a:solidFill>
          </c:spPr>
          <c:dLbls>
            <c:txPr>
              <a:bodyPr/>
              <a:lstStyle/>
              <a:p>
                <a:pPr>
                  <a:defRPr sz="800">
                    <a:latin typeface="Verdana" pitchFamily="34" charset="0"/>
                  </a:defRPr>
                </a:pPr>
                <a:endParaRPr lang="fr-FR"/>
              </a:p>
            </c:txPr>
            <c:showVal val="1"/>
          </c:dLbls>
          <c:cat>
            <c:numRef>
              <c:f>(Feuil1!$B$165,Feuil1!$D$165,Feuil1!$F$165,Feuil1!$H$165)</c:f>
              <c:numCache>
                <c:formatCode>General</c:formatCode>
                <c:ptCount val="4"/>
                <c:pt idx="0">
                  <c:v>1973</c:v>
                </c:pt>
                <c:pt idx="1">
                  <c:v>1990</c:v>
                </c:pt>
                <c:pt idx="2">
                  <c:v>2002</c:v>
                </c:pt>
                <c:pt idx="3">
                  <c:v>2010</c:v>
                </c:pt>
              </c:numCache>
            </c:numRef>
          </c:cat>
          <c:val>
            <c:numRef>
              <c:f>(Feuil1!$B$170,Feuil1!$D$170,Feuil1!$F$170,Feuil1!$H$170)</c:f>
              <c:numCache>
                <c:formatCode>0.0%</c:formatCode>
                <c:ptCount val="4"/>
                <c:pt idx="0">
                  <c:v>0.13345195729537371</c:v>
                </c:pt>
                <c:pt idx="1">
                  <c:v>0.15944540727903297</c:v>
                </c:pt>
                <c:pt idx="2">
                  <c:v>0.11607142857142856</c:v>
                </c:pt>
                <c:pt idx="3">
                  <c:v>0.14076246334310849</c:v>
                </c:pt>
              </c:numCache>
            </c:numRef>
          </c:val>
        </c:ser>
        <c:dLbls>
          <c:showVal val="1"/>
        </c:dLbls>
        <c:gapWidth val="70"/>
        <c:overlap val="100"/>
        <c:axId val="66969600"/>
        <c:axId val="66971136"/>
      </c:barChart>
      <c:catAx>
        <c:axId val="66969600"/>
        <c:scaling>
          <c:orientation val="minMax"/>
        </c:scaling>
        <c:axPos val="b"/>
        <c:numFmt formatCode="General" sourceLinked="1"/>
        <c:majorTickMark val="none"/>
        <c:tickLblPos val="nextTo"/>
        <c:txPr>
          <a:bodyPr/>
          <a:lstStyle/>
          <a:p>
            <a:pPr>
              <a:defRPr sz="1000">
                <a:latin typeface="Verdana" pitchFamily="34" charset="0"/>
              </a:defRPr>
            </a:pPr>
            <a:endParaRPr lang="fr-FR"/>
          </a:p>
        </c:txPr>
        <c:crossAx val="66971136"/>
        <c:crosses val="autoZero"/>
        <c:auto val="1"/>
        <c:lblAlgn val="ctr"/>
        <c:lblOffset val="100"/>
      </c:catAx>
      <c:valAx>
        <c:axId val="66971136"/>
        <c:scaling>
          <c:orientation val="minMax"/>
        </c:scaling>
        <c:axPos val="l"/>
        <c:majorGridlines/>
        <c:numFmt formatCode="0%" sourceLinked="1"/>
        <c:majorTickMark val="none"/>
        <c:tickLblPos val="nextTo"/>
        <c:txPr>
          <a:bodyPr/>
          <a:lstStyle/>
          <a:p>
            <a:pPr>
              <a:defRPr sz="800">
                <a:latin typeface="Verdana" pitchFamily="34" charset="0"/>
              </a:defRPr>
            </a:pPr>
            <a:endParaRPr lang="fr-FR"/>
          </a:p>
        </c:txPr>
        <c:crossAx val="66969600"/>
        <c:crosses val="autoZero"/>
        <c:crossBetween val="between"/>
        <c:majorUnit val="0.2"/>
      </c:valAx>
      <c:spPr>
        <a:noFill/>
      </c:spPr>
    </c:plotArea>
    <c:plotVisOnly val="1"/>
  </c:chart>
  <c:spPr>
    <a:noFill/>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latin typeface="Verdana" pitchFamily="34" charset="0"/>
              </a:defRPr>
            </a:pPr>
            <a:endParaRPr lang="fr-FR" sz="1100" baseline="0">
              <a:latin typeface="Verdana" pitchFamily="34" charset="0"/>
            </a:endParaRPr>
          </a:p>
          <a:p>
            <a:pPr>
              <a:defRPr sz="1100">
                <a:latin typeface="Verdana" pitchFamily="34" charset="0"/>
              </a:defRPr>
            </a:pPr>
            <a:r>
              <a:rPr lang="fr-FR" sz="1100" b="0" i="1" baseline="0">
                <a:latin typeface="Verdana" pitchFamily="34" charset="0"/>
              </a:rPr>
              <a:t>Transports</a:t>
            </a:r>
          </a:p>
        </c:rich>
      </c:tx>
      <c:layout>
        <c:manualLayout>
          <c:xMode val="edge"/>
          <c:yMode val="edge"/>
          <c:x val="0.42424115590202383"/>
          <c:y val="1.7148981779206859E-2"/>
        </c:manualLayout>
      </c:layout>
      <c:overlay val="1"/>
    </c:title>
    <c:plotArea>
      <c:layout>
        <c:manualLayout>
          <c:layoutTarget val="inner"/>
          <c:xMode val="edge"/>
          <c:yMode val="edge"/>
          <c:x val="0.15341962520637178"/>
          <c:y val="0.17917445206808955"/>
          <c:w val="0.89014829396325468"/>
          <c:h val="0.66354913031370732"/>
        </c:manualLayout>
      </c:layout>
      <c:barChart>
        <c:barDir val="col"/>
        <c:grouping val="percentStacked"/>
        <c:ser>
          <c:idx val="1"/>
          <c:order val="0"/>
          <c:tx>
            <c:strRef>
              <c:f>Feuil1!$A$150</c:f>
              <c:strCache>
                <c:ptCount val="1"/>
                <c:pt idx="0">
                  <c:v>pétrole</c:v>
                </c:pt>
              </c:strCache>
            </c:strRef>
          </c:tx>
          <c:spPr>
            <a:solidFill>
              <a:srgbClr val="7030A0"/>
            </a:solidFill>
          </c:spPr>
          <c:dLbls>
            <c:txPr>
              <a:bodyPr/>
              <a:lstStyle/>
              <a:p>
                <a:pPr>
                  <a:defRPr sz="800">
                    <a:solidFill>
                      <a:schemeClr val="bg1"/>
                    </a:solidFill>
                    <a:latin typeface="Verdana" pitchFamily="34" charset="0"/>
                  </a:defRPr>
                </a:pPr>
                <a:endParaRPr lang="fr-FR"/>
              </a:p>
            </c:txPr>
            <c:dLblPos val="ctr"/>
            <c:showVal val="1"/>
          </c:dLbls>
          <c:cat>
            <c:numRef>
              <c:f>(Feuil1!$B$149,Feuil1!$D$149,Feuil1!$F$149,Feuil1!$H$149)</c:f>
              <c:numCache>
                <c:formatCode>General</c:formatCode>
                <c:ptCount val="4"/>
                <c:pt idx="0">
                  <c:v>1973</c:v>
                </c:pt>
                <c:pt idx="1">
                  <c:v>1990</c:v>
                </c:pt>
                <c:pt idx="2">
                  <c:v>2002</c:v>
                </c:pt>
                <c:pt idx="3">
                  <c:v>2010</c:v>
                </c:pt>
              </c:numCache>
            </c:numRef>
          </c:cat>
          <c:val>
            <c:numRef>
              <c:f>(Feuil1!$B$150,Feuil1!$D$150,Feuil1!$F$150,Feuil1!$H$150)</c:f>
              <c:numCache>
                <c:formatCode>0.0%</c:formatCode>
                <c:ptCount val="4"/>
                <c:pt idx="0">
                  <c:v>0.97683397683398165</c:v>
                </c:pt>
                <c:pt idx="1">
                  <c:v>0.98284313725490191</c:v>
                </c:pt>
                <c:pt idx="2">
                  <c:v>0.97623762376237633</c:v>
                </c:pt>
                <c:pt idx="3">
                  <c:v>0.92599999999999993</c:v>
                </c:pt>
              </c:numCache>
            </c:numRef>
          </c:val>
        </c:ser>
        <c:ser>
          <c:idx val="3"/>
          <c:order val="1"/>
          <c:tx>
            <c:strRef>
              <c:f>Feuil1!$A$151</c:f>
              <c:strCache>
                <c:ptCount val="1"/>
                <c:pt idx="0">
                  <c:v>électricité</c:v>
                </c:pt>
              </c:strCache>
            </c:strRef>
          </c:tx>
          <c:spPr>
            <a:solidFill>
              <a:schemeClr val="accent5"/>
            </a:solidFill>
          </c:spPr>
          <c:dLbls>
            <c:dLbl>
              <c:idx val="0"/>
              <c:layout>
                <c:manualLayout>
                  <c:x val="0"/>
                  <c:y val="1.282051282051282E-2"/>
                </c:manualLayout>
              </c:layout>
              <c:dLblPos val="ctr"/>
              <c:showVal val="1"/>
            </c:dLbl>
            <c:dLbl>
              <c:idx val="1"/>
              <c:layout>
                <c:manualLayout>
                  <c:x val="0"/>
                  <c:y val="8.5470085470085496E-3"/>
                </c:manualLayout>
              </c:layout>
              <c:dLblPos val="ctr"/>
              <c:showVal val="1"/>
            </c:dLbl>
            <c:dLbl>
              <c:idx val="2"/>
              <c:layout>
                <c:manualLayout>
                  <c:x val="0"/>
                  <c:y val="8.5470085470085496E-3"/>
                </c:manualLayout>
              </c:layout>
              <c:dLblPos val="ctr"/>
              <c:showVal val="1"/>
            </c:dLbl>
            <c:txPr>
              <a:bodyPr/>
              <a:lstStyle/>
              <a:p>
                <a:pPr>
                  <a:defRPr sz="800">
                    <a:latin typeface="Verdana" pitchFamily="34" charset="0"/>
                  </a:defRPr>
                </a:pPr>
                <a:endParaRPr lang="fr-FR"/>
              </a:p>
            </c:txPr>
            <c:dLblPos val="ctr"/>
            <c:showVal val="1"/>
          </c:dLbls>
          <c:cat>
            <c:numRef>
              <c:f>(Feuil1!$B$149,Feuil1!$D$149,Feuil1!$F$149,Feuil1!$H$149)</c:f>
              <c:numCache>
                <c:formatCode>General</c:formatCode>
                <c:ptCount val="4"/>
                <c:pt idx="0">
                  <c:v>1973</c:v>
                </c:pt>
                <c:pt idx="1">
                  <c:v>1990</c:v>
                </c:pt>
                <c:pt idx="2">
                  <c:v>2002</c:v>
                </c:pt>
                <c:pt idx="3">
                  <c:v>2010</c:v>
                </c:pt>
              </c:numCache>
            </c:numRef>
          </c:cat>
          <c:val>
            <c:numRef>
              <c:f>(Feuil1!$B$151,Feuil1!$D$151,Feuil1!$F$151,Feuil1!$H$151)</c:f>
              <c:numCache>
                <c:formatCode>0.0%</c:formatCode>
                <c:ptCount val="4"/>
                <c:pt idx="0">
                  <c:v>2.3166023166023172E-2</c:v>
                </c:pt>
                <c:pt idx="1">
                  <c:v>1.7156862745098037E-2</c:v>
                </c:pt>
                <c:pt idx="2">
                  <c:v>1.7821782178217827E-2</c:v>
                </c:pt>
                <c:pt idx="3">
                  <c:v>2.2000000000000016E-2</c:v>
                </c:pt>
              </c:numCache>
            </c:numRef>
          </c:val>
        </c:ser>
        <c:ser>
          <c:idx val="4"/>
          <c:order val="2"/>
          <c:tx>
            <c:strRef>
              <c:f>Feuil1!$A$152</c:f>
              <c:strCache>
                <c:ptCount val="1"/>
                <c:pt idx="0">
                  <c:v>énergies renouvelables</c:v>
                </c:pt>
              </c:strCache>
            </c:strRef>
          </c:tx>
          <c:spPr>
            <a:solidFill>
              <a:schemeClr val="accent3"/>
            </a:solidFill>
          </c:spPr>
          <c:dLbls>
            <c:txPr>
              <a:bodyPr/>
              <a:lstStyle/>
              <a:p>
                <a:pPr>
                  <a:defRPr sz="800">
                    <a:latin typeface="Verdana" pitchFamily="34" charset="0"/>
                  </a:defRPr>
                </a:pPr>
                <a:endParaRPr lang="fr-FR"/>
              </a:p>
            </c:txPr>
            <c:dLblPos val="ctr"/>
            <c:showVal val="1"/>
          </c:dLbls>
          <c:cat>
            <c:numRef>
              <c:f>(Feuil1!$B$149,Feuil1!$D$149,Feuil1!$F$149,Feuil1!$H$149)</c:f>
              <c:numCache>
                <c:formatCode>General</c:formatCode>
                <c:ptCount val="4"/>
                <c:pt idx="0">
                  <c:v>1973</c:v>
                </c:pt>
                <c:pt idx="1">
                  <c:v>1990</c:v>
                </c:pt>
                <c:pt idx="2">
                  <c:v>2002</c:v>
                </c:pt>
                <c:pt idx="3">
                  <c:v>2010</c:v>
                </c:pt>
              </c:numCache>
            </c:numRef>
          </c:cat>
          <c:val>
            <c:numRef>
              <c:f>(Feuil1!$B$152,Feuil1!$D$152,Feuil1!$F$152,Feuil1!$H$152)</c:f>
              <c:numCache>
                <c:formatCode>0.0%</c:formatCode>
                <c:ptCount val="4"/>
                <c:pt idx="0">
                  <c:v>0</c:v>
                </c:pt>
                <c:pt idx="1">
                  <c:v>0</c:v>
                </c:pt>
                <c:pt idx="2">
                  <c:v>5.9405940594059415E-3</c:v>
                </c:pt>
                <c:pt idx="3">
                  <c:v>5.2000000000000032E-2</c:v>
                </c:pt>
              </c:numCache>
            </c:numRef>
          </c:val>
        </c:ser>
        <c:dLbls>
          <c:showVal val="1"/>
        </c:dLbls>
        <c:gapWidth val="70"/>
        <c:overlap val="100"/>
        <c:axId val="66981248"/>
        <c:axId val="67028096"/>
      </c:barChart>
      <c:catAx>
        <c:axId val="66981248"/>
        <c:scaling>
          <c:orientation val="minMax"/>
        </c:scaling>
        <c:axPos val="b"/>
        <c:numFmt formatCode="General" sourceLinked="1"/>
        <c:majorTickMark val="none"/>
        <c:tickLblPos val="nextTo"/>
        <c:txPr>
          <a:bodyPr/>
          <a:lstStyle/>
          <a:p>
            <a:pPr>
              <a:defRPr sz="1000">
                <a:latin typeface="Verdana" pitchFamily="34" charset="0"/>
              </a:defRPr>
            </a:pPr>
            <a:endParaRPr lang="fr-FR"/>
          </a:p>
        </c:txPr>
        <c:crossAx val="67028096"/>
        <c:crosses val="autoZero"/>
        <c:auto val="1"/>
        <c:lblAlgn val="ctr"/>
        <c:lblOffset val="100"/>
      </c:catAx>
      <c:valAx>
        <c:axId val="67028096"/>
        <c:scaling>
          <c:orientation val="minMax"/>
          <c:max val="1"/>
          <c:min val="0.8"/>
        </c:scaling>
        <c:axPos val="l"/>
        <c:majorGridlines/>
        <c:numFmt formatCode="0%" sourceLinked="1"/>
        <c:majorTickMark val="none"/>
        <c:tickLblPos val="nextTo"/>
        <c:txPr>
          <a:bodyPr/>
          <a:lstStyle/>
          <a:p>
            <a:pPr>
              <a:defRPr sz="800">
                <a:latin typeface="Verdana" pitchFamily="34" charset="0"/>
              </a:defRPr>
            </a:pPr>
            <a:endParaRPr lang="fr-FR"/>
          </a:p>
        </c:txPr>
        <c:crossAx val="66981248"/>
        <c:crosses val="autoZero"/>
        <c:crossBetween val="between"/>
        <c:majorUnit val="0.1"/>
      </c:valAx>
      <c:spPr>
        <a:noFill/>
      </c:spPr>
    </c:plotArea>
    <c:plotVisOnly val="1"/>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0.4718</cdr:x>
      <cdr:y>0.87217</cdr:y>
    </cdr:from>
    <cdr:to>
      <cdr:x>0.88462</cdr:x>
      <cdr:y>0.94955</cdr:y>
    </cdr:to>
    <cdr:sp macro="" textlink="">
      <cdr:nvSpPr>
        <cdr:cNvPr id="2" name="ZoneTexte 1"/>
        <cdr:cNvSpPr txBox="1"/>
      </cdr:nvSpPr>
      <cdr:spPr>
        <a:xfrm xmlns:a="http://schemas.openxmlformats.org/drawingml/2006/main">
          <a:off x="1752601" y="2799614"/>
          <a:ext cx="1533525" cy="24838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fr-FR" sz="1000" i="1">
              <a:latin typeface="Verdana" pitchFamily="34" charset="0"/>
            </a:rPr>
            <a:t>source : Observ'ER</a:t>
          </a:r>
        </a:p>
      </cdr:txBody>
    </cdr:sp>
  </cdr:relSizeAnchor>
  <cdr:relSizeAnchor xmlns:cdr="http://schemas.openxmlformats.org/drawingml/2006/chartDrawing">
    <cdr:from>
      <cdr:x>0.62051</cdr:x>
      <cdr:y>0.04154</cdr:y>
    </cdr:from>
    <cdr:to>
      <cdr:x>0.86923</cdr:x>
      <cdr:y>0.16617</cdr:y>
    </cdr:to>
    <cdr:sp macro="" textlink="">
      <cdr:nvSpPr>
        <cdr:cNvPr id="3" name="ZoneTexte 1"/>
        <cdr:cNvSpPr txBox="1"/>
      </cdr:nvSpPr>
      <cdr:spPr>
        <a:xfrm xmlns:a="http://schemas.openxmlformats.org/drawingml/2006/main">
          <a:off x="2305051" y="133350"/>
          <a:ext cx="923924" cy="4000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fr-FR" sz="1100" b="1">
              <a:latin typeface="Verdana" pitchFamily="34" charset="0"/>
            </a:rPr>
            <a:t>Monde</a:t>
          </a:r>
        </a:p>
      </cdr:txBody>
    </cdr:sp>
  </cdr:relSizeAnchor>
</c:userShapes>
</file>

<file path=word/drawings/drawing2.xml><?xml version="1.0" encoding="utf-8"?>
<c:userShapes xmlns:c="http://schemas.openxmlformats.org/drawingml/2006/chart">
  <cdr:relSizeAnchor xmlns:cdr="http://schemas.openxmlformats.org/drawingml/2006/chartDrawing">
    <cdr:from>
      <cdr:x>0.00998</cdr:x>
      <cdr:y>0.07279</cdr:y>
    </cdr:from>
    <cdr:to>
      <cdr:x>0.16972</cdr:x>
      <cdr:y>0.18038</cdr:y>
    </cdr:to>
    <cdr:sp macro="" textlink="">
      <cdr:nvSpPr>
        <cdr:cNvPr id="4" name="ZoneTexte 3"/>
        <cdr:cNvSpPr txBox="1"/>
      </cdr:nvSpPr>
      <cdr:spPr>
        <a:xfrm xmlns:a="http://schemas.openxmlformats.org/drawingml/2006/main">
          <a:off x="57149" y="219088"/>
          <a:ext cx="914400" cy="3238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fr-FR" sz="1100" b="1">
              <a:latin typeface="Verdana" pitchFamily="34" charset="0"/>
            </a:rPr>
            <a:t>France</a:t>
          </a:r>
        </a:p>
      </cdr:txBody>
    </cdr:sp>
  </cdr:relSizeAnchor>
</c:userShapes>
</file>

<file path=word/drawings/drawing3.xml><?xml version="1.0" encoding="utf-8"?>
<c:userShapes xmlns:c="http://schemas.openxmlformats.org/drawingml/2006/chart">
  <cdr:relSizeAnchor xmlns:cdr="http://schemas.openxmlformats.org/drawingml/2006/chartDrawing">
    <cdr:from>
      <cdr:x>0.70422</cdr:x>
      <cdr:y>0.92916</cdr:y>
    </cdr:from>
    <cdr:to>
      <cdr:x>0.99019</cdr:x>
      <cdr:y>1</cdr:y>
    </cdr:to>
    <cdr:sp macro="" textlink="">
      <cdr:nvSpPr>
        <cdr:cNvPr id="2" name="ZoneTexte 1"/>
        <cdr:cNvSpPr txBox="1"/>
      </cdr:nvSpPr>
      <cdr:spPr>
        <a:xfrm xmlns:a="http://schemas.openxmlformats.org/drawingml/2006/main">
          <a:off x="4407523" y="2873324"/>
          <a:ext cx="1789815" cy="21907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r"/>
          <a:r>
            <a:rPr lang="fr-FR" sz="1000" i="1">
              <a:latin typeface="Verdana" pitchFamily="34" charset="0"/>
            </a:rPr>
            <a:t>Source : Ministère de l'Ecologie, du Développement Durable et</a:t>
          </a:r>
          <a:r>
            <a:rPr lang="fr-FR" sz="1000" i="1" baseline="0">
              <a:latin typeface="Verdana" pitchFamily="34" charset="0"/>
            </a:rPr>
            <a:t> de l'Energie</a:t>
          </a:r>
          <a:endParaRPr lang="fr-FR" sz="1000" i="1">
            <a:latin typeface="Verdana"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0.79862</cdr:x>
      <cdr:y>0.90741</cdr:y>
    </cdr:from>
    <cdr:to>
      <cdr:x>0.99862</cdr:x>
      <cdr:y>0.97531</cdr:y>
    </cdr:to>
    <cdr:sp macro="" textlink="">
      <cdr:nvSpPr>
        <cdr:cNvPr id="2" name="ZoneTexte 1"/>
        <cdr:cNvSpPr txBox="1"/>
      </cdr:nvSpPr>
      <cdr:spPr>
        <a:xfrm xmlns:a="http://schemas.openxmlformats.org/drawingml/2006/main">
          <a:off x="3301369" y="2800350"/>
          <a:ext cx="826770" cy="209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r"/>
          <a:r>
            <a:rPr lang="fr-FR" sz="800" i="1">
              <a:latin typeface="Verdana" pitchFamily="34" charset="0"/>
            </a:rPr>
            <a:t>source : GIEC</a:t>
          </a:r>
        </a:p>
      </cdr:txBody>
    </cdr:sp>
  </cdr:relSizeAnchor>
</c:userShapes>
</file>

<file path=word/drawings/drawing5.xml><?xml version="1.0" encoding="utf-8"?>
<c:userShapes xmlns:c="http://schemas.openxmlformats.org/drawingml/2006/chart">
  <cdr:relSizeAnchor xmlns:cdr="http://schemas.openxmlformats.org/drawingml/2006/chartDrawing">
    <cdr:from>
      <cdr:x>0.72291</cdr:x>
      <cdr:y>0.91806</cdr:y>
    </cdr:from>
    <cdr:to>
      <cdr:x>1</cdr:x>
      <cdr:y>0.98536</cdr:y>
    </cdr:to>
    <cdr:sp macro="" textlink="">
      <cdr:nvSpPr>
        <cdr:cNvPr id="2" name="ZoneTexte 1"/>
        <cdr:cNvSpPr txBox="1"/>
      </cdr:nvSpPr>
      <cdr:spPr>
        <a:xfrm xmlns:a="http://schemas.openxmlformats.org/drawingml/2006/main">
          <a:off x="2072601" y="3051851"/>
          <a:ext cx="794424" cy="2237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fr-FR" sz="1000" i="1">
              <a:latin typeface="Verdana" pitchFamily="34" charset="0"/>
            </a:rPr>
            <a:t>Source : Ministère de l'Ecologie, du Développement Durable et</a:t>
          </a:r>
          <a:r>
            <a:rPr lang="fr-FR" sz="1000" i="1" baseline="0">
              <a:latin typeface="Verdana" pitchFamily="34" charset="0"/>
            </a:rPr>
            <a:t> de l'Energie</a:t>
          </a:r>
          <a:endParaRPr lang="fr-FR" sz="1000" i="1">
            <a:latin typeface="Verdana" pitchFamily="34"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BF641-22FA-4E53-9F27-B40FD16B1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Pages>
  <Words>7244</Words>
  <Characters>39847</Characters>
  <Application>Microsoft Office Word</Application>
  <DocSecurity>0</DocSecurity>
  <Lines>332</Lines>
  <Paragraphs>93</Paragraphs>
  <ScaleCrop>false</ScaleCrop>
  <HeadingPairs>
    <vt:vector size="2" baseType="variant">
      <vt:variant>
        <vt:lpstr>Titre</vt:lpstr>
      </vt:variant>
      <vt:variant>
        <vt:i4>1</vt:i4>
      </vt:variant>
    </vt:vector>
  </HeadingPairs>
  <TitlesOfParts>
    <vt:vector size="1" baseType="lpstr">
      <vt:lpstr/>
    </vt:vector>
  </TitlesOfParts>
  <Company>UFR des Sciences Paris Sud</Company>
  <LinksUpToDate>false</LinksUpToDate>
  <CharactersWithSpaces>46998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dc:creator>
  <cp:keywords/>
  <dc:description/>
  <cp:lastModifiedBy>stagiaire</cp:lastModifiedBy>
  <cp:revision>207</cp:revision>
  <cp:lastPrinted>2012-09-28T09:00:00Z</cp:lastPrinted>
  <dcterms:created xsi:type="dcterms:W3CDTF">2012-09-25T16:19:00Z</dcterms:created>
  <dcterms:modified xsi:type="dcterms:W3CDTF">2012-09-28T13:06:00Z</dcterms:modified>
</cp:coreProperties>
</file>